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F1E071" w14:textId="2262B101" w:rsidR="00E9488F" w:rsidRPr="00E9488F" w:rsidRDefault="00E9488F" w:rsidP="00463BA1">
      <w:pPr>
        <w:pStyle w:val="Heading1"/>
        <w:ind w:firstLine="720"/>
      </w:pPr>
      <w:r>
        <w:t xml:space="preserve">Implementing </w:t>
      </w:r>
      <w:r w:rsidR="00060D4A">
        <w:t xml:space="preserve">an Open &amp; </w:t>
      </w:r>
      <w:r>
        <w:t xml:space="preserve">FAIR Data-Sharing Policy </w:t>
      </w:r>
      <w:r w:rsidRPr="1DDBDC28">
        <w:t>–</w:t>
      </w:r>
      <w:r>
        <w:t xml:space="preserve"> A Case Study in the Earth and Environmental Sciences</w:t>
      </w:r>
    </w:p>
    <w:p w14:paraId="1A87D769" w14:textId="610E8473" w:rsidR="005126E8" w:rsidRDefault="005126E8"/>
    <w:p w14:paraId="6A0BDED3" w14:textId="523CB38D" w:rsidR="009A7DE1" w:rsidRDefault="009A7DE1" w:rsidP="009A7DE1">
      <w:r w:rsidRPr="006728A4">
        <w:rPr>
          <w:rStyle w:val="Heading2Char"/>
        </w:rPr>
        <w:t>Authors</w:t>
      </w:r>
      <w:r>
        <w:t xml:space="preserve"> Matthew Cannon</w:t>
      </w:r>
      <w:r w:rsidR="00243615">
        <w:t>*</w:t>
      </w:r>
      <w:r w:rsidR="000C4138" w:rsidRPr="000C4138">
        <w:rPr>
          <w:vertAlign w:val="superscript"/>
        </w:rPr>
        <w:t>[a]</w:t>
      </w:r>
      <w:r>
        <w:t>, Andrew Kelly</w:t>
      </w:r>
      <w:r w:rsidR="000C4138" w:rsidRPr="000C4138">
        <w:rPr>
          <w:vertAlign w:val="superscript"/>
        </w:rPr>
        <w:t>[a]</w:t>
      </w:r>
      <w:r>
        <w:t>, Chris Freeman</w:t>
      </w:r>
      <w:r w:rsidR="000C4138" w:rsidRPr="000C4138">
        <w:rPr>
          <w:vertAlign w:val="superscript"/>
        </w:rPr>
        <w:t>[b]</w:t>
      </w:r>
    </w:p>
    <w:p w14:paraId="1DB25433" w14:textId="7DC0F77E" w:rsidR="002605B9" w:rsidRDefault="002605B9" w:rsidP="009A7DE1">
      <w:r>
        <w:t>Taylor &amp; Francis Group, 4 Park Square, Milton Park, Abingdon, Oxon, OX14 4RN, UK</w:t>
      </w:r>
    </w:p>
    <w:p w14:paraId="6EE3A3B7" w14:textId="5D396FF1" w:rsidR="000C4138" w:rsidRPr="00D61B1B" w:rsidRDefault="00762567" w:rsidP="009A7DE1">
      <w:r>
        <w:t>Taylor &amp; Francis Gro</w:t>
      </w:r>
      <w:r w:rsidRPr="00FD2144">
        <w:t>up,</w:t>
      </w:r>
      <w:r w:rsidR="00C023D1" w:rsidRPr="00FD2144">
        <w:t xml:space="preserve"> 11</w:t>
      </w:r>
      <w:r w:rsidRPr="00FD2144">
        <w:t xml:space="preserve"> Queens Road, Melbourne,</w:t>
      </w:r>
      <w:r w:rsidR="00F9066F" w:rsidRPr="00FD2144">
        <w:t xml:space="preserve"> VIC 3004,</w:t>
      </w:r>
      <w:r w:rsidRPr="00FD2144">
        <w:t xml:space="preserve"> Australia</w:t>
      </w:r>
    </w:p>
    <w:p w14:paraId="64703964" w14:textId="77777777" w:rsidR="009A7DE1" w:rsidRDefault="009A7DE1" w:rsidP="009A7DE1">
      <w:pPr>
        <w:pStyle w:val="Heading2"/>
      </w:pPr>
      <w:r>
        <w:t>Abstract</w:t>
      </w:r>
    </w:p>
    <w:p w14:paraId="666FEB08" w14:textId="3412CFF0" w:rsidR="009A7DE1" w:rsidRDefault="00B1084D" w:rsidP="009A7DE1">
      <w:pPr>
        <w:jc w:val="both"/>
      </w:pPr>
      <w:r>
        <w:t xml:space="preserve">This paper outlines the </w:t>
      </w:r>
      <w:r w:rsidR="00707EA0">
        <w:t>impact</w:t>
      </w:r>
      <w:r>
        <w:t xml:space="preserve"> </w:t>
      </w:r>
      <w:r w:rsidR="00707EA0">
        <w:t>of</w:t>
      </w:r>
      <w:r>
        <w:t xml:space="preserve"> </w:t>
      </w:r>
      <w:r w:rsidR="00707EA0">
        <w:t xml:space="preserve">the introduction of an open &amp; FAIR data-sharing policy on six earth &amp; environmental science journals, beginning in November 2019. </w:t>
      </w:r>
      <w:r w:rsidR="00394E53">
        <w:t xml:space="preserve">Pleasingly, </w:t>
      </w:r>
      <w:r w:rsidR="0067223D">
        <w:t>18</w:t>
      </w:r>
      <w:r w:rsidR="000459D2">
        <w:t xml:space="preserve"> months</w:t>
      </w:r>
      <w:r w:rsidR="00C4071B" w:rsidRPr="00C4071B">
        <w:t xml:space="preserve"> </w:t>
      </w:r>
      <w:r w:rsidR="00C4071B">
        <w:t>after implementing th</w:t>
      </w:r>
      <w:r w:rsidR="00153032">
        <w:t>is</w:t>
      </w:r>
      <w:r w:rsidR="00C4071B">
        <w:t xml:space="preserve"> new policy,</w:t>
      </w:r>
      <w:r w:rsidR="000459D2">
        <w:t xml:space="preserve"> </w:t>
      </w:r>
      <w:r w:rsidR="00153032">
        <w:t>we observed</w:t>
      </w:r>
      <w:r w:rsidR="000459D2">
        <w:t xml:space="preserve"> minimal impact</w:t>
      </w:r>
      <w:r w:rsidR="009E47DA">
        <w:t>s</w:t>
      </w:r>
      <w:r w:rsidR="000459D2">
        <w:t xml:space="preserve"> </w:t>
      </w:r>
      <w:r w:rsidR="003C6D9D">
        <w:t>on submission</w:t>
      </w:r>
      <w:r w:rsidR="00394E53">
        <w:t>,</w:t>
      </w:r>
      <w:r w:rsidR="003C6D9D">
        <w:t xml:space="preserve"> acceptance rates</w:t>
      </w:r>
      <w:r w:rsidR="00C4071B">
        <w:t xml:space="preserve"> </w:t>
      </w:r>
      <w:r w:rsidR="00394E53">
        <w:t>or peer-review times</w:t>
      </w:r>
      <w:r w:rsidR="00C4071B">
        <w:t xml:space="preserve"> for the participating journals</w:t>
      </w:r>
      <w:r w:rsidR="003C6D9D">
        <w:t xml:space="preserve">. </w:t>
      </w:r>
      <w:r w:rsidR="006506D5">
        <w:t>This paper</w:t>
      </w:r>
      <w:r w:rsidR="00810040">
        <w:t xml:space="preserve"> </w:t>
      </w:r>
      <w:r w:rsidR="00C4071B">
        <w:t xml:space="preserve">also </w:t>
      </w:r>
      <w:r w:rsidR="006506D5">
        <w:t>describes the changes</w:t>
      </w:r>
      <w:r w:rsidR="00810040">
        <w:t xml:space="preserve"> </w:t>
      </w:r>
      <w:r w:rsidR="006506D5">
        <w:t>that were required</w:t>
      </w:r>
      <w:r w:rsidR="00810040">
        <w:t xml:space="preserve"> to internal systems and processes</w:t>
      </w:r>
      <w:r w:rsidR="00707EA0">
        <w:t xml:space="preserve"> in order to implement the new policy</w:t>
      </w:r>
      <w:r w:rsidR="00810040">
        <w:t>, a</w:t>
      </w:r>
      <w:r w:rsidR="3A3FA27E">
        <w:t xml:space="preserve">nd compares our </w:t>
      </w:r>
      <w:r w:rsidR="00423AAD">
        <w:t>findings</w:t>
      </w:r>
      <w:r w:rsidR="3A3FA27E">
        <w:t xml:space="preserve"> with recent literature </w:t>
      </w:r>
      <w:r w:rsidR="00423AAD">
        <w:t xml:space="preserve">reports </w:t>
      </w:r>
      <w:r w:rsidR="3A3FA27E">
        <w:t>on the impact of introducing data</w:t>
      </w:r>
      <w:r w:rsidR="00423AAD">
        <w:t>-</w:t>
      </w:r>
      <w:r w:rsidR="3A3FA27E">
        <w:t>sharing policies at a journal level</w:t>
      </w:r>
      <w:r w:rsidR="002077B6">
        <w:t>.</w:t>
      </w:r>
    </w:p>
    <w:p w14:paraId="6E988B10" w14:textId="77777777" w:rsidR="009A7DE1" w:rsidRDefault="009A7DE1" w:rsidP="009A7DE1">
      <w:pPr>
        <w:pStyle w:val="Heading2"/>
      </w:pPr>
      <w:r>
        <w:t>Introduction</w:t>
      </w:r>
    </w:p>
    <w:p w14:paraId="5020A6BE" w14:textId="7F9F8CB7" w:rsidR="007E2A89" w:rsidRDefault="009A7DE1" w:rsidP="009A7DE1">
      <w:pPr>
        <w:jc w:val="both"/>
      </w:pPr>
      <w:r>
        <w:t xml:space="preserve">Taylor &amp; Francis has been involved in discussions around </w:t>
      </w:r>
      <w:r w:rsidR="009C7B1C">
        <w:t>o</w:t>
      </w:r>
      <w:r>
        <w:t xml:space="preserve">pen </w:t>
      </w:r>
      <w:r w:rsidR="009C7B1C">
        <w:t>a</w:t>
      </w:r>
      <w:r>
        <w:t xml:space="preserve">ccess for over </w:t>
      </w:r>
      <w:r w:rsidR="00A12C47">
        <w:t>15</w:t>
      </w:r>
      <w:r>
        <w:t xml:space="preserve"> years</w:t>
      </w:r>
      <w:r w:rsidR="00B305B9">
        <w:t xml:space="preserve">, </w:t>
      </w:r>
      <w:r w:rsidR="006E1C2F">
        <w:t xml:space="preserve">beginning with the </w:t>
      </w:r>
      <w:r w:rsidR="00B305B9">
        <w:t>launch</w:t>
      </w:r>
      <w:r w:rsidR="006E1C2F">
        <w:t xml:space="preserve"> of</w:t>
      </w:r>
      <w:r w:rsidR="00B305B9">
        <w:t xml:space="preserve"> our </w:t>
      </w:r>
      <w:r w:rsidR="00A12C47">
        <w:t xml:space="preserve">green open access policy </w:t>
      </w:r>
      <w:r w:rsidR="00B305B9">
        <w:t xml:space="preserve">in </w:t>
      </w:r>
      <w:r w:rsidR="00A12C47">
        <w:t>2003</w:t>
      </w:r>
      <w:r>
        <w:t xml:space="preserve">. We have </w:t>
      </w:r>
      <w:r w:rsidR="00F0781F">
        <w:t xml:space="preserve">offered open access on subscription journals (hybrid journals) since </w:t>
      </w:r>
      <w:r w:rsidR="007E5A66">
        <w:t>2006</w:t>
      </w:r>
      <w:r>
        <w:t xml:space="preserve">, and </w:t>
      </w:r>
      <w:r w:rsidR="007E5A66">
        <w:t xml:space="preserve">converted our first journals </w:t>
      </w:r>
      <w:r w:rsidR="00574C1F">
        <w:t xml:space="preserve">from a subscription model </w:t>
      </w:r>
      <w:r w:rsidR="007E5A66">
        <w:t xml:space="preserve">to </w:t>
      </w:r>
      <w:r w:rsidR="00574C1F">
        <w:t xml:space="preserve">become </w:t>
      </w:r>
      <w:r w:rsidR="007E5A66">
        <w:t>full</w:t>
      </w:r>
      <w:r w:rsidR="00574C1F">
        <w:t>y</w:t>
      </w:r>
      <w:r w:rsidR="007E5A66">
        <w:t xml:space="preserve"> open access in </w:t>
      </w:r>
      <w:r>
        <w:t xml:space="preserve">2012. </w:t>
      </w:r>
      <w:r w:rsidR="00574C1F">
        <w:t>During this time, we</w:t>
      </w:r>
      <w:r>
        <w:t xml:space="preserve"> have experimented in many areas of scholarly publishing, including launching an open access imprint Cogent</w:t>
      </w:r>
      <w:sdt>
        <w:sdtPr>
          <w:id w:val="954534323"/>
          <w:citation/>
        </w:sdtPr>
        <w:sdtEndPr/>
        <w:sdtContent>
          <w:r w:rsidR="00B03E2E">
            <w:fldChar w:fldCharType="begin"/>
          </w:r>
          <w:r w:rsidR="00B03E2E">
            <w:instrText xml:space="preserve">CITATION Cogent \l 2057 </w:instrText>
          </w:r>
          <w:r w:rsidR="00B03E2E">
            <w:fldChar w:fldCharType="separate"/>
          </w:r>
          <w:r w:rsidR="00A95CFA">
            <w:rPr>
              <w:noProof/>
            </w:rPr>
            <w:t xml:space="preserve"> (Informa UK LTD, Cogent who we are, n.d.)</w:t>
          </w:r>
          <w:r w:rsidR="00B03E2E">
            <w:fldChar w:fldCharType="end"/>
          </w:r>
        </w:sdtContent>
      </w:sdt>
      <w:r w:rsidR="007E2A89">
        <w:t xml:space="preserve"> in 2013. As the discussion has broadened into one around Open Research, our colleagues have attended </w:t>
      </w:r>
      <w:r w:rsidR="007E2A89" w:rsidRPr="00237C46">
        <w:t>OASPA</w:t>
      </w:r>
      <w:sdt>
        <w:sdtPr>
          <w:id w:val="529769644"/>
          <w:citation/>
        </w:sdtPr>
        <w:sdtEndPr/>
        <w:sdtContent>
          <w:r w:rsidR="003E62CC">
            <w:fldChar w:fldCharType="begin"/>
          </w:r>
          <w:r w:rsidR="00400608">
            <w:instrText xml:space="preserve">CITATION OASPA \l 2057 </w:instrText>
          </w:r>
          <w:r w:rsidR="003E62CC">
            <w:fldChar w:fldCharType="separate"/>
          </w:r>
          <w:r w:rsidR="00A95CFA">
            <w:rPr>
              <w:noProof/>
            </w:rPr>
            <w:t xml:space="preserve"> (OASPA, n.d.)</w:t>
          </w:r>
          <w:r w:rsidR="003E62CC">
            <w:fldChar w:fldCharType="end"/>
          </w:r>
        </w:sdtContent>
      </w:sdt>
      <w:r w:rsidR="007E2A89">
        <w:t>, STM</w:t>
      </w:r>
      <w:sdt>
        <w:sdtPr>
          <w:id w:val="-853722238"/>
          <w:citation/>
        </w:sdtPr>
        <w:sdtEndPr/>
        <w:sdtContent>
          <w:r w:rsidR="00136980">
            <w:fldChar w:fldCharType="begin"/>
          </w:r>
          <w:r w:rsidR="00A06880">
            <w:instrText xml:space="preserve">CITATION STM \l 2057 </w:instrText>
          </w:r>
          <w:r w:rsidR="00136980">
            <w:fldChar w:fldCharType="separate"/>
          </w:r>
          <w:r w:rsidR="00A95CFA">
            <w:rPr>
              <w:noProof/>
            </w:rPr>
            <w:t xml:space="preserve"> (Science Technical Medical Association, n.d.)</w:t>
          </w:r>
          <w:r w:rsidR="00136980">
            <w:fldChar w:fldCharType="end"/>
          </w:r>
        </w:sdtContent>
      </w:sdt>
      <w:r w:rsidR="007E2A89">
        <w:t xml:space="preserve"> and RDA</w:t>
      </w:r>
      <w:sdt>
        <w:sdtPr>
          <w:id w:val="1039944156"/>
          <w:citation/>
        </w:sdtPr>
        <w:sdtEndPr/>
        <w:sdtContent>
          <w:r w:rsidR="00CA1544">
            <w:fldChar w:fldCharType="begin"/>
          </w:r>
          <w:r w:rsidR="00CA1544">
            <w:instrText xml:space="preserve"> CITATION Res \l 2057 </w:instrText>
          </w:r>
          <w:r w:rsidR="00CA1544">
            <w:fldChar w:fldCharType="separate"/>
          </w:r>
          <w:r w:rsidR="00A95CFA">
            <w:rPr>
              <w:noProof/>
            </w:rPr>
            <w:t xml:space="preserve"> (Research Data Alliance, n.d.)</w:t>
          </w:r>
          <w:r w:rsidR="00CA1544">
            <w:fldChar w:fldCharType="end"/>
          </w:r>
        </w:sdtContent>
      </w:sdt>
      <w:r w:rsidR="007E2A89">
        <w:t xml:space="preserve"> events, and we are fully committed to supporting open as the direction of travel.</w:t>
      </w:r>
    </w:p>
    <w:p w14:paraId="0FA9A19D" w14:textId="24E5342E" w:rsidR="007E2A89" w:rsidRDefault="007E2A89" w:rsidP="009A7DE1">
      <w:pPr>
        <w:jc w:val="both"/>
      </w:pPr>
      <w:r>
        <w:t>We rolled out our suite of data-sharing policies in 2018 and,</w:t>
      </w:r>
      <w:r w:rsidRPr="00A32F4C">
        <w:t xml:space="preserve"> </w:t>
      </w:r>
      <w:r>
        <w:t>within 12 months, had successfully implemented our ‘basic’ policy on more than 1,600 journals. As set out by Jones et al. in their case study</w:t>
      </w:r>
      <w:r w:rsidR="00DB0A0C" w:rsidRPr="00DB0A0C">
        <w:t xml:space="preserve"> </w:t>
      </w:r>
      <w:sdt>
        <w:sdtPr>
          <w:id w:val="-893426852"/>
          <w:citation/>
        </w:sdtPr>
        <w:sdtEndPr/>
        <w:sdtContent>
          <w:r w:rsidR="00DB0A0C">
            <w:fldChar w:fldCharType="begin"/>
          </w:r>
          <w:r w:rsidR="00DB0A0C">
            <w:instrText xml:space="preserve"> CITATION Jon19 \l 2057 </w:instrText>
          </w:r>
          <w:r w:rsidR="00DB0A0C">
            <w:fldChar w:fldCharType="separate"/>
          </w:r>
          <w:r w:rsidR="00A95CFA">
            <w:rPr>
              <w:noProof/>
            </w:rPr>
            <w:t>(Jones, 2019)</w:t>
          </w:r>
          <w:r w:rsidR="00DB0A0C">
            <w:fldChar w:fldCharType="end"/>
          </w:r>
        </w:sdtContent>
      </w:sdt>
      <w:r>
        <w:t>, our policies were informed by both FAIR data principles</w:t>
      </w:r>
      <w:sdt>
        <w:sdtPr>
          <w:id w:val="253402885"/>
          <w:citation/>
        </w:sdtPr>
        <w:sdtEndPr/>
        <w:sdtContent>
          <w:r w:rsidR="005A0C4C">
            <w:fldChar w:fldCharType="begin"/>
          </w:r>
          <w:r w:rsidR="005A0C4C">
            <w:instrText xml:space="preserve"> CITATION Wil16 \l 2057 </w:instrText>
          </w:r>
          <w:r w:rsidR="005A0C4C">
            <w:fldChar w:fldCharType="separate"/>
          </w:r>
          <w:r w:rsidR="00A95CFA">
            <w:rPr>
              <w:noProof/>
            </w:rPr>
            <w:t xml:space="preserve"> (Wilkinson, 2016)</w:t>
          </w:r>
          <w:r w:rsidR="005A0C4C">
            <w:fldChar w:fldCharType="end"/>
          </w:r>
        </w:sdtContent>
      </w:sdt>
      <w:r>
        <w:t xml:space="preserve"> and by the TOP Guidelines</w:t>
      </w:r>
      <w:sdt>
        <w:sdtPr>
          <w:id w:val="-1858499022"/>
          <w:citation/>
        </w:sdtPr>
        <w:sdtEndPr/>
        <w:sdtContent>
          <w:r w:rsidR="003750C9">
            <w:fldChar w:fldCharType="begin"/>
          </w:r>
          <w:r w:rsidR="003750C9">
            <w:instrText xml:space="preserve">CITATION alB15 \l 2057 </w:instrText>
          </w:r>
          <w:r w:rsidR="003750C9">
            <w:fldChar w:fldCharType="separate"/>
          </w:r>
          <w:r w:rsidR="00A95CFA">
            <w:rPr>
              <w:noProof/>
            </w:rPr>
            <w:t xml:space="preserve"> (B. A. Nosek, 2015)</w:t>
          </w:r>
          <w:r w:rsidR="003750C9">
            <w:fldChar w:fldCharType="end"/>
          </w:r>
        </w:sdtContent>
      </w:sdt>
      <w:r w:rsidR="00061E37">
        <w:t>;</w:t>
      </w:r>
      <w:r w:rsidR="009A7DE1">
        <w:t xml:space="preserve"> </w:t>
      </w:r>
      <w:r w:rsidR="00061E37">
        <w:t>however,</w:t>
      </w:r>
      <w:r>
        <w:t xml:space="preserve"> as a publisher of Humanities research under the Routledge imprint, as well as Science &amp; Technology and Medical content, we required a range of policies that covered the breadth of attitudes to data sharing within the different research areas. As such, we adopted a tiered approach, with increasing levels of prescription in each policy</w:t>
      </w:r>
      <w:r w:rsidR="00D06EB4">
        <w:t xml:space="preserve"> (</w:t>
      </w:r>
      <w:r w:rsidR="00D06EB4">
        <w:fldChar w:fldCharType="begin"/>
      </w:r>
      <w:r w:rsidR="00D06EB4">
        <w:instrText xml:space="preserve"> REF _Ref80867166 \h </w:instrText>
      </w:r>
      <w:r w:rsidR="00D06EB4">
        <w:fldChar w:fldCharType="separate"/>
      </w:r>
      <w:r w:rsidR="00D06EB4">
        <w:t xml:space="preserve">Table </w:t>
      </w:r>
      <w:r w:rsidR="00D06EB4">
        <w:rPr>
          <w:noProof/>
        </w:rPr>
        <w:t>1</w:t>
      </w:r>
      <w:r w:rsidR="00D06EB4">
        <w:fldChar w:fldCharType="end"/>
      </w:r>
      <w:r w:rsidR="00D06EB4">
        <w:t>)</w:t>
      </w:r>
      <w:r w:rsidR="009A7DE1">
        <w:t>.</w:t>
      </w:r>
    </w:p>
    <w:p w14:paraId="176216EC" w14:textId="0F46E62D" w:rsidR="00D06EB4" w:rsidRDefault="00D06EB4" w:rsidP="00D06EB4">
      <w:pPr>
        <w:pStyle w:val="Caption"/>
        <w:keepNext/>
      </w:pPr>
      <w:bookmarkStart w:id="0" w:name="_Ref80867166"/>
      <w:r>
        <w:t xml:space="preserve">Table </w:t>
      </w:r>
      <w:fldSimple w:instr=" SEQ Table \* ARABIC ">
        <w:r>
          <w:rPr>
            <w:noProof/>
          </w:rPr>
          <w:t>1</w:t>
        </w:r>
      </w:fldSimple>
      <w:bookmarkEnd w:id="0"/>
      <w:r>
        <w:tab/>
        <w:t>Taylor &amp; Francis Data-Sharing Policies</w:t>
      </w:r>
    </w:p>
    <w:tbl>
      <w:tblPr>
        <w:tblStyle w:val="TableGrid"/>
        <w:tblW w:w="9015" w:type="dxa"/>
        <w:tblLayout w:type="fixed"/>
        <w:tblLook w:val="06A0" w:firstRow="1" w:lastRow="0" w:firstColumn="1" w:lastColumn="0" w:noHBand="1" w:noVBand="1"/>
      </w:tblPr>
      <w:tblGrid>
        <w:gridCol w:w="2115"/>
        <w:gridCol w:w="6900"/>
      </w:tblGrid>
      <w:tr w:rsidR="007E2A89" w14:paraId="235540DA" w14:textId="77777777" w:rsidTr="2D83E513">
        <w:tc>
          <w:tcPr>
            <w:tcW w:w="2115" w:type="dxa"/>
          </w:tcPr>
          <w:p w14:paraId="7EC6DF32" w14:textId="21338C64" w:rsidR="007E2A89" w:rsidRDefault="007E2A89" w:rsidP="45E34208">
            <w:r>
              <w:t>Basic</w:t>
            </w:r>
          </w:p>
        </w:tc>
        <w:tc>
          <w:tcPr>
            <w:tcW w:w="6900" w:type="dxa"/>
          </w:tcPr>
          <w:p w14:paraId="57A38E3F" w14:textId="36F9E7AC" w:rsidR="007E2A89" w:rsidRDefault="007E2A89" w:rsidP="45E34208">
            <w:pPr>
              <w:jc w:val="both"/>
            </w:pPr>
            <w:r>
              <w:t>Authors are encouraged to share their data, but there are no formal requirements.</w:t>
            </w:r>
          </w:p>
          <w:p w14:paraId="17BC8FF4" w14:textId="6E8BF470" w:rsidR="007E2A89" w:rsidRDefault="007E2A89" w:rsidP="45E34208"/>
        </w:tc>
      </w:tr>
      <w:tr w:rsidR="007E2A89" w14:paraId="079D67AE" w14:textId="77777777" w:rsidTr="2D83E513">
        <w:tc>
          <w:tcPr>
            <w:tcW w:w="2115" w:type="dxa"/>
          </w:tcPr>
          <w:p w14:paraId="6D2BDDF3" w14:textId="661AC8B6" w:rsidR="007E2A89" w:rsidRDefault="007E2A89" w:rsidP="45E34208">
            <w:r>
              <w:t>Share Upon Request</w:t>
            </w:r>
          </w:p>
        </w:tc>
        <w:tc>
          <w:tcPr>
            <w:tcW w:w="6900" w:type="dxa"/>
          </w:tcPr>
          <w:p w14:paraId="40462CB0" w14:textId="50FDBC8A" w:rsidR="007E2A89" w:rsidRDefault="007E2A89" w:rsidP="45E34208">
            <w:pPr>
              <w:jc w:val="both"/>
            </w:pPr>
            <w:r>
              <w:t>Authors agree to share their data on receipt of a request from a reader. Authors have to include a Data Availability Statement with details of how to request access.</w:t>
            </w:r>
          </w:p>
          <w:p w14:paraId="70356D94" w14:textId="7621A35D" w:rsidR="007E2A89" w:rsidRDefault="007E2A89" w:rsidP="45E34208"/>
        </w:tc>
      </w:tr>
      <w:tr w:rsidR="007E2A89" w14:paraId="1D2C9674" w14:textId="77777777" w:rsidTr="2D83E513">
        <w:tc>
          <w:tcPr>
            <w:tcW w:w="2115" w:type="dxa"/>
          </w:tcPr>
          <w:p w14:paraId="18C9D90C" w14:textId="50FDBC8A" w:rsidR="007E2A89" w:rsidRDefault="007E2A89" w:rsidP="45E34208">
            <w:r>
              <w:t>Publicly Available</w:t>
            </w:r>
          </w:p>
        </w:tc>
        <w:tc>
          <w:tcPr>
            <w:tcW w:w="6900" w:type="dxa"/>
          </w:tcPr>
          <w:p w14:paraId="3C76AEA9" w14:textId="50FDBC8A" w:rsidR="007E2A89" w:rsidRDefault="007E2A89" w:rsidP="45E34208">
            <w:r>
              <w:t>Authors are required to share their data in a repository, but can choose a more restrictive license.</w:t>
            </w:r>
          </w:p>
        </w:tc>
      </w:tr>
      <w:tr w:rsidR="007E2A89" w14:paraId="5BCDAE83" w14:textId="77777777" w:rsidTr="2D83E513">
        <w:tc>
          <w:tcPr>
            <w:tcW w:w="2115" w:type="dxa"/>
          </w:tcPr>
          <w:p w14:paraId="2D2B8513" w14:textId="50FDBC8A" w:rsidR="007E2A89" w:rsidRDefault="007E2A89" w:rsidP="45E34208">
            <w:r>
              <w:t>Open Data</w:t>
            </w:r>
          </w:p>
        </w:tc>
        <w:tc>
          <w:tcPr>
            <w:tcW w:w="6900" w:type="dxa"/>
          </w:tcPr>
          <w:p w14:paraId="67453AEC" w14:textId="50FDBC8A" w:rsidR="007E2A89" w:rsidRDefault="007E2A89" w:rsidP="45E34208">
            <w:r>
              <w:t>Authors are required to share their data in a repository under an open license, such as the CC-BY or CC0 Creative Commons Licences.</w:t>
            </w:r>
          </w:p>
        </w:tc>
      </w:tr>
      <w:tr w:rsidR="007E2A89" w14:paraId="3C197AF6" w14:textId="77777777" w:rsidTr="2D83E513">
        <w:tc>
          <w:tcPr>
            <w:tcW w:w="2115" w:type="dxa"/>
          </w:tcPr>
          <w:p w14:paraId="35A09100" w14:textId="50FDBC8A" w:rsidR="007E2A89" w:rsidRDefault="007E2A89" w:rsidP="45E34208">
            <w:r>
              <w:lastRenderedPageBreak/>
              <w:t>Open &amp; FAIR</w:t>
            </w:r>
          </w:p>
        </w:tc>
        <w:tc>
          <w:tcPr>
            <w:tcW w:w="6900" w:type="dxa"/>
          </w:tcPr>
          <w:p w14:paraId="054FB9B0" w14:textId="50FDBC8A" w:rsidR="007E2A89" w:rsidRDefault="007E2A89" w:rsidP="45E34208">
            <w:r>
              <w:t>Authors are required to share their data in a repository that support the FAIR principles under an open license such as CC-BY or CC0.</w:t>
            </w:r>
          </w:p>
        </w:tc>
      </w:tr>
    </w:tbl>
    <w:p w14:paraId="23D6D602" w14:textId="50FDBC8A" w:rsidR="007E2A89" w:rsidRDefault="007E2A89" w:rsidP="2D83E513">
      <w:pPr>
        <w:jc w:val="both"/>
      </w:pPr>
    </w:p>
    <w:p w14:paraId="1368E0D5" w14:textId="77777777" w:rsidR="007E2A89" w:rsidRDefault="007E2A89" w:rsidP="2D83E513">
      <w:pPr>
        <w:jc w:val="both"/>
      </w:pPr>
      <w:r>
        <w:t>The full table of policy information is available online here:</w:t>
      </w:r>
    </w:p>
    <w:p w14:paraId="02AD2793" w14:textId="33E28083" w:rsidR="007E2A89" w:rsidRDefault="007E2A89" w:rsidP="2D83E513">
      <w:pPr>
        <w:jc w:val="both"/>
      </w:pPr>
      <w:r>
        <w:t xml:space="preserve"> [</w:t>
      </w:r>
      <w:hyperlink r:id="rId11">
        <w:r w:rsidRPr="2D83E513">
          <w:rPr>
            <w:rStyle w:val="Hyperlink"/>
          </w:rPr>
          <w:t>https://authorservices.taylorandfrancis.com/wp-content/uploads/2019/04/Author-Services-Data-sharing-policies.pdf</w:t>
        </w:r>
      </w:hyperlink>
      <w:r>
        <w:t>].</w:t>
      </w:r>
    </w:p>
    <w:p w14:paraId="30949146" w14:textId="4D095BBE" w:rsidR="007E2A89" w:rsidRDefault="007E2A89" w:rsidP="009A7DE1">
      <w:pPr>
        <w:jc w:val="both"/>
      </w:pPr>
      <w:r>
        <w:t xml:space="preserve">Following discussions in the run-up to the Fall meeting of the American Geophysical Union (AGU) meeting in Washington DC in 2018, we </w:t>
      </w:r>
      <w:r w:rsidR="00DD178E">
        <w:t>began</w:t>
      </w:r>
      <w:r>
        <w:t xml:space="preserve"> to look at the work of </w:t>
      </w:r>
      <w:r w:rsidRPr="00EA213B">
        <w:t>Coalition for Publishing Data in the Earth and Space Sciences</w:t>
      </w:r>
      <w:r>
        <w:t xml:space="preserve"> (COPDESS)</w:t>
      </w:r>
      <w:sdt>
        <w:sdtPr>
          <w:id w:val="219254227"/>
          <w:citation/>
        </w:sdtPr>
        <w:sdtEndPr/>
        <w:sdtContent>
          <w:r w:rsidR="00E31A6F">
            <w:fldChar w:fldCharType="begin"/>
          </w:r>
          <w:r w:rsidR="00E31A6F">
            <w:instrText xml:space="preserve"> CITATION COPDESS \l 2057 </w:instrText>
          </w:r>
          <w:r w:rsidR="00E31A6F">
            <w:fldChar w:fldCharType="separate"/>
          </w:r>
          <w:r w:rsidR="00A95CFA">
            <w:rPr>
              <w:noProof/>
            </w:rPr>
            <w:t xml:space="preserve"> (COPDESS, Coalition for Publishing Data in the Earth and Space Sciences, n.d.)</w:t>
          </w:r>
          <w:r w:rsidR="00E31A6F">
            <w:fldChar w:fldCharType="end"/>
          </w:r>
        </w:sdtContent>
      </w:sdt>
      <w:r w:rsidRPr="001B5FB7">
        <w:rPr>
          <w:vertAlign w:val="superscript"/>
        </w:rPr>
        <w:t xml:space="preserve"> </w:t>
      </w:r>
      <w:r>
        <w:t>and how we could support the ambitions of their Enabling FAIR Data project,</w:t>
      </w:r>
      <w:r w:rsidRPr="00F53BF5">
        <w:t xml:space="preserve"> </w:t>
      </w:r>
      <w:r>
        <w:t xml:space="preserve">in </w:t>
      </w:r>
      <w:r w:rsidR="00560A4D">
        <w:t>facilitating</w:t>
      </w:r>
      <w:r>
        <w:t xml:space="preserve"> and promoting the adoption of best practices around open data</w:t>
      </w:r>
      <w:sdt>
        <w:sdtPr>
          <w:id w:val="-1712262152"/>
          <w:citation/>
        </w:sdtPr>
        <w:sdtEndPr/>
        <w:sdtContent>
          <w:r w:rsidR="00B1539A">
            <w:fldChar w:fldCharType="begin"/>
          </w:r>
          <w:r w:rsidR="00B1539A">
            <w:instrText xml:space="preserve"> CITATION COP \l 2057 </w:instrText>
          </w:r>
          <w:r w:rsidR="00B1539A">
            <w:fldChar w:fldCharType="separate"/>
          </w:r>
          <w:r w:rsidR="00A95CFA">
            <w:rPr>
              <w:noProof/>
            </w:rPr>
            <w:t xml:space="preserve"> (COPDESS, Enabling FAIR data project, n.d.)</w:t>
          </w:r>
          <w:r w:rsidR="00B1539A">
            <w:fldChar w:fldCharType="end"/>
          </w:r>
        </w:sdtContent>
      </w:sdt>
      <w:r>
        <w:t>.</w:t>
      </w:r>
    </w:p>
    <w:p w14:paraId="24411BC8" w14:textId="0A029F09" w:rsidR="007E2A89" w:rsidRDefault="0084672E" w:rsidP="009A7DE1">
      <w:pPr>
        <w:jc w:val="both"/>
      </w:pPr>
      <w:r>
        <w:t xml:space="preserve">After </w:t>
      </w:r>
      <w:r w:rsidR="008F43D3">
        <w:t>sign</w:t>
      </w:r>
      <w:r>
        <w:t>ing</w:t>
      </w:r>
      <w:r w:rsidR="007E2A89">
        <w:t xml:space="preserve"> the </w:t>
      </w:r>
      <w:r w:rsidR="007E2A89" w:rsidRPr="0002293A">
        <w:t>Commitment to Enabling FAIR Data in the Earth, Space, and Environmental Sciences</w:t>
      </w:r>
      <w:r w:rsidR="007E2A89">
        <w:t xml:space="preserve"> in March 2019, we began </w:t>
      </w:r>
      <w:r w:rsidR="007E2A89" w:rsidRPr="0015388F">
        <w:t>plann</w:t>
      </w:r>
      <w:r w:rsidR="007E2A89">
        <w:t>ing</w:t>
      </w:r>
      <w:r w:rsidR="007E2A89" w:rsidRPr="0015388F">
        <w:t xml:space="preserve"> a pilot</w:t>
      </w:r>
      <w:r w:rsidR="007E2A89">
        <w:t xml:space="preserve">, in which we would </w:t>
      </w:r>
      <w:r w:rsidR="007E2A89">
        <w:rPr>
          <w:rFonts w:eastAsiaTheme="minorEastAsia"/>
        </w:rPr>
        <w:t xml:space="preserve">move a selection of journals onto the </w:t>
      </w:r>
      <w:r w:rsidR="007E2A89">
        <w:t>onto our most-open data-sharing policy,</w:t>
      </w:r>
      <w:r w:rsidR="007E2A89">
        <w:rPr>
          <w:rFonts w:eastAsiaTheme="minorEastAsia"/>
        </w:rPr>
        <w:t xml:space="preserve"> which most-closely aligned with the goals of the COPDESS project</w:t>
      </w:r>
      <w:r w:rsidR="007E2A89">
        <w:t xml:space="preserve">. We felt that this pilot would allow us to understand more about the impact of implementing an open data-sharing policy in our journals, as well as what system updates would </w:t>
      </w:r>
      <w:r w:rsidR="009A7DE1">
        <w:t xml:space="preserve">be </w:t>
      </w:r>
      <w:r>
        <w:t>required</w:t>
      </w:r>
      <w:r w:rsidR="00416014">
        <w:t xml:space="preserve"> </w:t>
      </w:r>
      <w:r w:rsidR="007E2A89">
        <w:t xml:space="preserve">to facilitate wider roll-out of this policy, and what resources our journal editors and authors </w:t>
      </w:r>
      <w:r>
        <w:t xml:space="preserve">would need </w:t>
      </w:r>
      <w:r w:rsidR="009A7DE1">
        <w:t xml:space="preserve">to </w:t>
      </w:r>
      <w:r w:rsidR="007E2A89">
        <w:t xml:space="preserve">comply with the guidelines. </w:t>
      </w:r>
    </w:p>
    <w:p w14:paraId="177DA929" w14:textId="7514A342" w:rsidR="007E2A89" w:rsidRPr="003D54CF" w:rsidRDefault="007E2A89" w:rsidP="009C4E64">
      <w:pPr>
        <w:jc w:val="both"/>
        <w:rPr>
          <w:rFonts w:eastAsiaTheme="minorEastAsia"/>
        </w:rPr>
      </w:pPr>
      <w:r>
        <w:rPr>
          <w:rFonts w:eastAsiaTheme="minorEastAsia"/>
        </w:rPr>
        <w:t xml:space="preserve">Herein, we discuss the impact of implementing an </w:t>
      </w:r>
      <w:r w:rsidR="00FF5EE0">
        <w:rPr>
          <w:rFonts w:eastAsiaTheme="minorEastAsia"/>
        </w:rPr>
        <w:t>O</w:t>
      </w:r>
      <w:r>
        <w:rPr>
          <w:rFonts w:eastAsiaTheme="minorEastAsia"/>
        </w:rPr>
        <w:t xml:space="preserve">pen &amp; FAIR data-sharing policy on these journals, as well as the changes </w:t>
      </w:r>
      <w:r w:rsidR="0084672E">
        <w:rPr>
          <w:rFonts w:eastAsiaTheme="minorEastAsia"/>
        </w:rPr>
        <w:t xml:space="preserve">that were </w:t>
      </w:r>
      <w:r>
        <w:rPr>
          <w:rFonts w:eastAsiaTheme="minorEastAsia"/>
        </w:rPr>
        <w:t>required to our systems</w:t>
      </w:r>
      <w:r w:rsidR="0084672E">
        <w:rPr>
          <w:rFonts w:eastAsiaTheme="minorEastAsia"/>
        </w:rPr>
        <w:t xml:space="preserve"> and processes</w:t>
      </w:r>
      <w:r w:rsidR="009C4E64">
        <w:rPr>
          <w:rFonts w:eastAsiaTheme="minorEastAsia"/>
        </w:rPr>
        <w:t>.</w:t>
      </w:r>
      <w:r>
        <w:rPr>
          <w:rFonts w:eastAsiaTheme="minorEastAsia"/>
        </w:rPr>
        <w:t xml:space="preserve"> We also share feedback from the editors of the participating journals regarding their experiences </w:t>
      </w:r>
      <w:r w:rsidR="0084672E">
        <w:rPr>
          <w:rFonts w:eastAsiaTheme="minorEastAsia"/>
        </w:rPr>
        <w:t>during</w:t>
      </w:r>
      <w:r>
        <w:rPr>
          <w:rFonts w:eastAsiaTheme="minorEastAsia"/>
        </w:rPr>
        <w:t xml:space="preserve"> the pilot.</w:t>
      </w:r>
    </w:p>
    <w:p w14:paraId="710A99D7" w14:textId="0FFB96DC" w:rsidR="007E2A89" w:rsidRDefault="007E2A89" w:rsidP="007D0E45">
      <w:pPr>
        <w:pStyle w:val="Heading2"/>
      </w:pPr>
      <w:r>
        <w:t>Methods and Implementation</w:t>
      </w:r>
    </w:p>
    <w:p w14:paraId="70D386BE" w14:textId="2CAC822C" w:rsidR="007E2A89" w:rsidRDefault="007E2A89" w:rsidP="007D0E45">
      <w:pPr>
        <w:pStyle w:val="Heading3"/>
      </w:pPr>
      <w:r>
        <w:t>Scope and Ambitions for the Pilot</w:t>
      </w:r>
    </w:p>
    <w:p w14:paraId="56BEA2A3" w14:textId="7DD42576" w:rsidR="007E2A89" w:rsidRDefault="007E2A89" w:rsidP="009A7DE1">
      <w:pPr>
        <w:jc w:val="both"/>
      </w:pPr>
      <w:r>
        <w:t xml:space="preserve">As outlined above, Taylor &amp; Francis first published their suite of data policies in 2018, but, at that time, our focus had been on encouraging our editors and society partners to adopt our ‘basic’ policy. </w:t>
      </w:r>
      <w:r w:rsidR="009A7DE1">
        <w:t xml:space="preserve">Whilst this </w:t>
      </w:r>
      <w:r w:rsidR="001553D8">
        <w:t xml:space="preserve">policy </w:t>
      </w:r>
      <w:r w:rsidR="00677588">
        <w:t xml:space="preserve">does encourage data sharing, and </w:t>
      </w:r>
      <w:r w:rsidR="009A7DE1">
        <w:t>raise</w:t>
      </w:r>
      <w:r w:rsidR="00677588">
        <w:t>s</w:t>
      </w:r>
      <w:r>
        <w:t xml:space="preserve"> the question of </w:t>
      </w:r>
      <w:r w:rsidR="00677588">
        <w:t xml:space="preserve">depositing and </w:t>
      </w:r>
      <w:r w:rsidR="009168E5">
        <w:t>citing datasets</w:t>
      </w:r>
      <w:r w:rsidR="009A7DE1">
        <w:t xml:space="preserve"> </w:t>
      </w:r>
      <w:r w:rsidR="009168E5">
        <w:t>with</w:t>
      </w:r>
      <w:r w:rsidR="009A7DE1">
        <w:t xml:space="preserve"> </w:t>
      </w:r>
      <w:r>
        <w:t xml:space="preserve">authors in the Instructions for Authors, no specific actions </w:t>
      </w:r>
      <w:r w:rsidR="009168E5">
        <w:t>a</w:t>
      </w:r>
      <w:r w:rsidR="001553D8">
        <w:t>re</w:t>
      </w:r>
      <w:r>
        <w:t xml:space="preserve"> required, and, in line with other research in this area, we found that very few authors proactively shared their research data as a result of implementing this policy</w:t>
      </w:r>
      <w:sdt>
        <w:sdtPr>
          <w:id w:val="-2051519313"/>
          <w:citation/>
        </w:sdtPr>
        <w:sdtEndPr/>
        <w:sdtContent>
          <w:r w:rsidR="00E33D0F">
            <w:fldChar w:fldCharType="begin"/>
          </w:r>
          <w:r w:rsidR="00E33D0F">
            <w:instrText xml:space="preserve"> CITATION Gio20 \l 2057 </w:instrText>
          </w:r>
          <w:r w:rsidR="00E33D0F">
            <w:fldChar w:fldCharType="separate"/>
          </w:r>
          <w:r w:rsidR="00A95CFA">
            <w:rPr>
              <w:noProof/>
            </w:rPr>
            <w:t xml:space="preserve"> (Giovanni Colavizza, 2020)</w:t>
          </w:r>
          <w:r w:rsidR="00E33D0F">
            <w:fldChar w:fldCharType="end"/>
          </w:r>
        </w:sdtContent>
      </w:sdt>
      <w:r>
        <w:t xml:space="preserve">. By signing up to the Enabling FAIR Data initiative and moving a pilot group of journals onto our Open and FAIR data policy, we would be testing our workflows, systems and author/editor communications on the most-open policies in the Taylor &amp; Francis framework. We felt that using these processes on a small group of journals would give us some feedback on the effectiveness of these resources and leave us better placed to roll-out our </w:t>
      </w:r>
      <w:r w:rsidR="00CB58A8">
        <w:t>more-open</w:t>
      </w:r>
      <w:r w:rsidR="009A7DE1">
        <w:t xml:space="preserve"> </w:t>
      </w:r>
      <w:r>
        <w:t>policies more widely.</w:t>
      </w:r>
    </w:p>
    <w:p w14:paraId="6A723369" w14:textId="0895B496" w:rsidR="007E2A89" w:rsidRDefault="007E2A89" w:rsidP="009A7DE1">
      <w:pPr>
        <w:jc w:val="both"/>
      </w:pPr>
      <w:r>
        <w:t xml:space="preserve">Finally, we wanted to ensure that we collected and analysed information about the participating journals in the pilot to </w:t>
      </w:r>
      <w:r w:rsidR="00CB58A8">
        <w:t>contribute</w:t>
      </w:r>
      <w:r>
        <w:t xml:space="preserve"> to the </w:t>
      </w:r>
      <w:r w:rsidR="00CB58A8">
        <w:t>wider understanding</w:t>
      </w:r>
      <w:r>
        <w:t xml:space="preserve"> about the effect of introducing data-sharing policies on journal metrics. In recent months, the implementation of data-sharing policies has been attributed to both an increase in citations</w:t>
      </w:r>
      <w:sdt>
        <w:sdtPr>
          <w:id w:val="-1074895446"/>
          <w:citation/>
        </w:sdtPr>
        <w:sdtEndPr/>
        <w:sdtContent>
          <w:r w:rsidR="0088779A">
            <w:fldChar w:fldCharType="begin"/>
          </w:r>
          <w:r w:rsidR="0088779A">
            <w:instrText xml:space="preserve"> CITATION Gio20 \l 2057 </w:instrText>
          </w:r>
          <w:r w:rsidR="0088779A">
            <w:fldChar w:fldCharType="separate"/>
          </w:r>
          <w:r w:rsidR="00A95CFA">
            <w:rPr>
              <w:noProof/>
            </w:rPr>
            <w:t xml:space="preserve"> (Giovanni Colavizza, 2020)</w:t>
          </w:r>
          <w:r w:rsidR="0088779A">
            <w:fldChar w:fldCharType="end"/>
          </w:r>
        </w:sdtContent>
      </w:sdt>
      <w:r>
        <w:t xml:space="preserve"> and a reduction in submissions</w:t>
      </w:r>
      <w:sdt>
        <w:sdtPr>
          <w:id w:val="152111415"/>
          <w:citation/>
        </w:sdtPr>
        <w:sdtEndPr/>
        <w:sdtContent>
          <w:r w:rsidR="00B70E2C">
            <w:fldChar w:fldCharType="begin"/>
          </w:r>
          <w:r w:rsidR="00B70E2C">
            <w:instrText xml:space="preserve"> CITATION Vines \l 2057 </w:instrText>
          </w:r>
          <w:r w:rsidR="00B70E2C">
            <w:fldChar w:fldCharType="separate"/>
          </w:r>
          <w:r w:rsidR="00A95CFA">
            <w:rPr>
              <w:noProof/>
            </w:rPr>
            <w:t xml:space="preserve"> (Vines, 2018)</w:t>
          </w:r>
          <w:r w:rsidR="00B70E2C">
            <w:fldChar w:fldCharType="end"/>
          </w:r>
        </w:sdtContent>
      </w:sdt>
      <w:r>
        <w:t>.</w:t>
      </w:r>
    </w:p>
    <w:p w14:paraId="3A2B2813" w14:textId="77777777" w:rsidR="007E2A89" w:rsidRDefault="007E2A89" w:rsidP="006E565B">
      <w:pPr>
        <w:pStyle w:val="Heading4"/>
      </w:pPr>
      <w:r>
        <w:t>Scope of the Pilot</w:t>
      </w:r>
    </w:p>
    <w:p w14:paraId="24AD2E15" w14:textId="3FDCE878" w:rsidR="007E2A89" w:rsidRDefault="007E2A89" w:rsidP="009A7DE1">
      <w:pPr>
        <w:jc w:val="both"/>
      </w:pPr>
      <w:r>
        <w:t xml:space="preserve">Taylor &amp; Francis publishes a </w:t>
      </w:r>
      <w:r w:rsidR="002E3686">
        <w:t>large</w:t>
      </w:r>
      <w:r>
        <w:t xml:space="preserve"> portfolio of more than 100 titles in the Earth and Environmental Sciences. Therefore, we </w:t>
      </w:r>
      <w:r w:rsidR="002E3686">
        <w:t>developed</w:t>
      </w:r>
      <w:r>
        <w:t xml:space="preserve"> a </w:t>
      </w:r>
      <w:r w:rsidR="002E3686">
        <w:t>set of criteria</w:t>
      </w:r>
      <w:r>
        <w:t xml:space="preserve"> to identify suitable titles for the pilot. Firstly, </w:t>
      </w:r>
      <w:r>
        <w:lastRenderedPageBreak/>
        <w:t xml:space="preserve">participating titles had to closely align with the subject areas </w:t>
      </w:r>
      <w:r w:rsidR="002E3686">
        <w:t xml:space="preserve">that were </w:t>
      </w:r>
      <w:r>
        <w:t xml:space="preserve">identified in the Enabling FAIR Data project. Secondly, suitable journals </w:t>
      </w:r>
      <w:r w:rsidR="00AB6C11">
        <w:t>were required to</w:t>
      </w:r>
      <w:r>
        <w:t xml:space="preserve"> use an online submission system to manage the peer-review process</w:t>
      </w:r>
      <w:r w:rsidR="009A7DE1">
        <w:t>.</w:t>
      </w:r>
      <w:r>
        <w:t xml:space="preserve"> Thirdly, </w:t>
      </w:r>
      <w:r w:rsidR="00AB6C11">
        <w:t>as</w:t>
      </w:r>
      <w:r>
        <w:t xml:space="preserve"> our journals are run by editorial teams of academic editors, and we were aware that by implementing this kind of policy there was potential to add to their already busy workload, we initially </w:t>
      </w:r>
      <w:r w:rsidR="00AB6C11">
        <w:t>decide to preference</w:t>
      </w:r>
      <w:r>
        <w:t xml:space="preserve"> journals for which additional administrative support was being provided by Taylor &amp; Francis.</w:t>
      </w:r>
    </w:p>
    <w:p w14:paraId="22CD928E" w14:textId="21999952" w:rsidR="007E2A89" w:rsidRDefault="007E2A89" w:rsidP="009A7DE1">
      <w:pPr>
        <w:jc w:val="both"/>
      </w:pPr>
      <w:r>
        <w:t xml:space="preserve">Next, we contacted </w:t>
      </w:r>
      <w:r w:rsidR="00DA5DBF">
        <w:t>a short-list of</w:t>
      </w:r>
      <w:r>
        <w:t xml:space="preserve"> journal editors to explain more about the </w:t>
      </w:r>
      <w:r w:rsidR="00DA5DBF">
        <w:t>pilot</w:t>
      </w:r>
      <w:r>
        <w:t xml:space="preserve"> and to </w:t>
      </w:r>
      <w:r w:rsidR="00DA5DBF">
        <w:t>ask</w:t>
      </w:r>
      <w:r>
        <w:t xml:space="preserve"> whether </w:t>
      </w:r>
      <w:r w:rsidR="00AB6C11">
        <w:t xml:space="preserve">they would be interested in </w:t>
      </w:r>
      <w:r w:rsidR="00DA5DBF">
        <w:t xml:space="preserve">including </w:t>
      </w:r>
      <w:r>
        <w:t>their journal</w:t>
      </w:r>
      <w:r w:rsidR="009A7DE1">
        <w:t xml:space="preserve">. </w:t>
      </w:r>
      <w:r w:rsidR="00DA5DBF">
        <w:t>At that point</w:t>
      </w:r>
      <w:r>
        <w:t xml:space="preserve">, we were very pleased to be joined by the AGU’s Director of Research Data, Shelley Stall, for a </w:t>
      </w:r>
      <w:r w:rsidR="006B2851">
        <w:t xml:space="preserve">joint </w:t>
      </w:r>
      <w:r>
        <w:t xml:space="preserve">webinar to explain more about the Enabling FAIR Data project to our editors and to answer any questions or field any comments they may have. </w:t>
      </w:r>
    </w:p>
    <w:p w14:paraId="437C0A88" w14:textId="55E43873" w:rsidR="007E2A89" w:rsidRDefault="007E2A89" w:rsidP="009A7DE1">
      <w:pPr>
        <w:jc w:val="both"/>
      </w:pPr>
      <w:r>
        <w:t xml:space="preserve">We also reached out to some titles where we thought the editorial teams might be particularly interested in joining the </w:t>
      </w:r>
      <w:r w:rsidR="00DA5DBF">
        <w:t>pilot</w:t>
      </w:r>
      <w:r>
        <w:t xml:space="preserve">, but did not currently have </w:t>
      </w:r>
      <w:r w:rsidR="006B2851">
        <w:t>administrative</w:t>
      </w:r>
      <w:r>
        <w:t xml:space="preserve"> support </w:t>
      </w:r>
      <w:r w:rsidR="009A7DE1">
        <w:t>in place.</w:t>
      </w:r>
      <w:r>
        <w:t xml:space="preserve"> We felt it was important to be clear about the extra work that would be required in checking the papers and corresponding with authors, </w:t>
      </w:r>
      <w:r w:rsidR="00E055D9">
        <w:t>and</w:t>
      </w:r>
      <w:r>
        <w:t xml:space="preserve"> were delighted when these approaches resulted in a couple more journals </w:t>
      </w:r>
      <w:r w:rsidR="009A7DE1">
        <w:t>join</w:t>
      </w:r>
      <w:r w:rsidR="00E055D9">
        <w:t>ing</w:t>
      </w:r>
      <w:r>
        <w:t xml:space="preserve"> the pilot.</w:t>
      </w:r>
    </w:p>
    <w:p w14:paraId="08ACDF0C" w14:textId="18EF07D7" w:rsidR="007E2A89" w:rsidRDefault="00F86497" w:rsidP="009A7DE1">
      <w:pPr>
        <w:jc w:val="both"/>
      </w:pPr>
      <w:r>
        <w:t>Following</w:t>
      </w:r>
      <w:r w:rsidR="009A7DE1">
        <w:t xml:space="preserve"> the webinar</w:t>
      </w:r>
      <w:r>
        <w:t xml:space="preserve"> and further discussions</w:t>
      </w:r>
      <w:r w:rsidR="001F42D5">
        <w:t>,</w:t>
      </w:r>
      <w:r w:rsidR="009A7DE1">
        <w:t xml:space="preserve"> the list of </w:t>
      </w:r>
      <w:r>
        <w:t xml:space="preserve">participating </w:t>
      </w:r>
      <w:r w:rsidR="009A7DE1">
        <w:t xml:space="preserve">titles </w:t>
      </w:r>
      <w:r>
        <w:t>was finalised as follows</w:t>
      </w:r>
      <w:r w:rsidR="009A7DE1">
        <w:t>:</w:t>
      </w:r>
    </w:p>
    <w:p w14:paraId="6880B3B6" w14:textId="77777777" w:rsidR="007E2A89" w:rsidRPr="0064267C" w:rsidRDefault="007E2A89" w:rsidP="009A7DE1">
      <w:pPr>
        <w:pStyle w:val="ListParagraph"/>
        <w:numPr>
          <w:ilvl w:val="0"/>
          <w:numId w:val="3"/>
        </w:numPr>
        <w:jc w:val="both"/>
        <w:rPr>
          <w:rFonts w:eastAsiaTheme="minorEastAsia"/>
          <w:i/>
          <w:iCs/>
        </w:rPr>
      </w:pPr>
      <w:r w:rsidRPr="0064267C">
        <w:rPr>
          <w:rFonts w:eastAsiaTheme="minorEastAsia"/>
          <w:i/>
          <w:iCs/>
        </w:rPr>
        <w:t>Australian Journal of Earth Sciences</w:t>
      </w:r>
    </w:p>
    <w:p w14:paraId="2C7B4AC6" w14:textId="77777777" w:rsidR="007E2A89" w:rsidRPr="0064267C" w:rsidRDefault="007E2A89" w:rsidP="009A7DE1">
      <w:pPr>
        <w:pStyle w:val="ListParagraph"/>
        <w:numPr>
          <w:ilvl w:val="0"/>
          <w:numId w:val="3"/>
        </w:numPr>
        <w:jc w:val="both"/>
        <w:rPr>
          <w:rFonts w:eastAsiaTheme="minorEastAsia"/>
          <w:i/>
          <w:iCs/>
        </w:rPr>
      </w:pPr>
      <w:r w:rsidRPr="00D97DEB">
        <w:rPr>
          <w:rFonts w:ascii="Calibri" w:eastAsia="Times New Roman" w:hAnsi="Calibri" w:cs="Calibri"/>
          <w:i/>
          <w:iCs/>
          <w:color w:val="000000"/>
          <w:lang w:eastAsia="en-GB"/>
        </w:rPr>
        <w:t>Big Earth Data</w:t>
      </w:r>
    </w:p>
    <w:p w14:paraId="10F058DC" w14:textId="77777777" w:rsidR="007E2A89" w:rsidRPr="0064267C" w:rsidRDefault="007E2A89" w:rsidP="009A7DE1">
      <w:pPr>
        <w:pStyle w:val="ListParagraph"/>
        <w:numPr>
          <w:ilvl w:val="0"/>
          <w:numId w:val="3"/>
        </w:numPr>
        <w:jc w:val="both"/>
        <w:rPr>
          <w:rFonts w:eastAsiaTheme="minorEastAsia"/>
          <w:i/>
          <w:iCs/>
        </w:rPr>
      </w:pPr>
      <w:r w:rsidRPr="00D97DEB">
        <w:rPr>
          <w:rFonts w:ascii="Calibri" w:eastAsia="Times New Roman" w:hAnsi="Calibri" w:cs="Calibri"/>
          <w:i/>
          <w:iCs/>
          <w:color w:val="000000"/>
          <w:lang w:eastAsia="en-GB"/>
        </w:rPr>
        <w:t>Cartography and Geographic Information Science</w:t>
      </w:r>
    </w:p>
    <w:p w14:paraId="6F8DBBF9" w14:textId="77777777" w:rsidR="007E2A89" w:rsidRPr="0064267C" w:rsidRDefault="007E2A89" w:rsidP="009A7DE1">
      <w:pPr>
        <w:pStyle w:val="ListParagraph"/>
        <w:numPr>
          <w:ilvl w:val="0"/>
          <w:numId w:val="3"/>
        </w:numPr>
        <w:jc w:val="both"/>
        <w:rPr>
          <w:rFonts w:eastAsiaTheme="minorEastAsia"/>
          <w:i/>
          <w:iCs/>
        </w:rPr>
      </w:pPr>
      <w:r w:rsidRPr="0064267C">
        <w:rPr>
          <w:rFonts w:eastAsiaTheme="minorEastAsia"/>
          <w:i/>
          <w:iCs/>
        </w:rPr>
        <w:t>GIScience &amp; Remote Sensing</w:t>
      </w:r>
    </w:p>
    <w:p w14:paraId="2B71274F" w14:textId="7F7554A9" w:rsidR="007E2A89" w:rsidRPr="0064267C" w:rsidRDefault="007E2A89" w:rsidP="009A7DE1">
      <w:pPr>
        <w:pStyle w:val="ListParagraph"/>
        <w:numPr>
          <w:ilvl w:val="0"/>
          <w:numId w:val="3"/>
        </w:numPr>
        <w:jc w:val="both"/>
        <w:rPr>
          <w:rFonts w:eastAsiaTheme="minorEastAsia"/>
          <w:i/>
          <w:iCs/>
        </w:rPr>
      </w:pPr>
      <w:r w:rsidRPr="0064267C">
        <w:rPr>
          <w:rFonts w:eastAsiaTheme="minorEastAsia"/>
          <w:i/>
          <w:iCs/>
        </w:rPr>
        <w:t xml:space="preserve">International </w:t>
      </w:r>
      <w:r w:rsidRPr="5A5DDA0B">
        <w:rPr>
          <w:rFonts w:eastAsiaTheme="minorEastAsia"/>
          <w:i/>
          <w:iCs/>
        </w:rPr>
        <w:t>Journal</w:t>
      </w:r>
      <w:r w:rsidRPr="0064267C">
        <w:rPr>
          <w:rFonts w:eastAsiaTheme="minorEastAsia"/>
          <w:i/>
          <w:iCs/>
        </w:rPr>
        <w:t xml:space="preserve"> of Geographic Information Science</w:t>
      </w:r>
    </w:p>
    <w:p w14:paraId="5A779ED7" w14:textId="77777777" w:rsidR="007E2A89" w:rsidRPr="0064267C" w:rsidRDefault="007E2A89" w:rsidP="009A7DE1">
      <w:pPr>
        <w:pStyle w:val="ListParagraph"/>
        <w:numPr>
          <w:ilvl w:val="0"/>
          <w:numId w:val="3"/>
        </w:numPr>
        <w:jc w:val="both"/>
        <w:rPr>
          <w:rFonts w:eastAsiaTheme="minorEastAsia"/>
          <w:i/>
          <w:iCs/>
        </w:rPr>
      </w:pPr>
      <w:r w:rsidRPr="082D090F">
        <w:rPr>
          <w:rFonts w:ascii="Calibri" w:eastAsia="Times New Roman" w:hAnsi="Calibri" w:cs="Calibri"/>
          <w:i/>
          <w:color w:val="000000" w:themeColor="text1"/>
          <w:lang w:eastAsia="en-GB"/>
        </w:rPr>
        <w:t>Journal of Freshwater Ecology</w:t>
      </w:r>
    </w:p>
    <w:p w14:paraId="3A1583C9" w14:textId="618FD6DA" w:rsidR="007E2A89" w:rsidRDefault="007E2A89" w:rsidP="006E565B">
      <w:pPr>
        <w:pStyle w:val="Heading4"/>
        <w:rPr>
          <w:rFonts w:eastAsiaTheme="minorEastAsia"/>
        </w:rPr>
      </w:pPr>
      <w:r>
        <w:rPr>
          <w:rFonts w:eastAsiaTheme="minorEastAsia"/>
        </w:rPr>
        <w:t>Ambitions for the Pilot</w:t>
      </w:r>
    </w:p>
    <w:p w14:paraId="666D7C27" w14:textId="113746F7" w:rsidR="007E2A89" w:rsidRPr="00430CD2" w:rsidRDefault="007E2A89" w:rsidP="009A7DE1">
      <w:pPr>
        <w:jc w:val="both"/>
        <w:rPr>
          <w:rFonts w:eastAsiaTheme="minorEastAsia"/>
        </w:rPr>
      </w:pPr>
      <w:r>
        <w:rPr>
          <w:rFonts w:eastAsiaTheme="minorEastAsia"/>
        </w:rPr>
        <w:t>Compared to other areas of scientific research, we felt that the kinds of data that we would be asking our authors to share would be relatively low risk (although there are always exceptions). A</w:t>
      </w:r>
      <w:r w:rsidRPr="00430CD2">
        <w:rPr>
          <w:rFonts w:eastAsiaTheme="minorEastAsia"/>
        </w:rPr>
        <w:t xml:space="preserve"> lot of </w:t>
      </w:r>
      <w:r>
        <w:rPr>
          <w:rFonts w:eastAsiaTheme="minorEastAsia"/>
        </w:rPr>
        <w:t xml:space="preserve">the </w:t>
      </w:r>
      <w:r w:rsidRPr="00430CD2">
        <w:rPr>
          <w:rFonts w:eastAsiaTheme="minorEastAsia"/>
        </w:rPr>
        <w:t xml:space="preserve">data </w:t>
      </w:r>
      <w:r>
        <w:rPr>
          <w:rFonts w:eastAsiaTheme="minorEastAsia"/>
        </w:rPr>
        <w:t xml:space="preserve">that are used in research that </w:t>
      </w:r>
      <w:r w:rsidRPr="4E734BCC">
        <w:rPr>
          <w:rFonts w:eastAsiaTheme="minorEastAsia"/>
        </w:rPr>
        <w:t>is</w:t>
      </w:r>
      <w:r>
        <w:rPr>
          <w:rFonts w:eastAsiaTheme="minorEastAsia"/>
        </w:rPr>
        <w:t xml:space="preserve"> published in participating journals in this pilot </w:t>
      </w:r>
      <w:r w:rsidRPr="4E734BCC">
        <w:rPr>
          <w:rFonts w:eastAsiaTheme="minorEastAsia"/>
        </w:rPr>
        <w:t>is</w:t>
      </w:r>
      <w:r w:rsidRPr="00430CD2">
        <w:rPr>
          <w:rFonts w:eastAsiaTheme="minorEastAsia"/>
        </w:rPr>
        <w:t xml:space="preserve"> free of personal information, GDPR concerns</w:t>
      </w:r>
      <w:sdt>
        <w:sdtPr>
          <w:rPr>
            <w:rFonts w:eastAsiaTheme="minorEastAsia"/>
          </w:rPr>
          <w:id w:val="-230621762"/>
          <w:citation/>
        </w:sdtPr>
        <w:sdtEndPr/>
        <w:sdtContent>
          <w:r w:rsidR="001D7736">
            <w:rPr>
              <w:rFonts w:eastAsiaTheme="minorEastAsia"/>
            </w:rPr>
            <w:fldChar w:fldCharType="begin"/>
          </w:r>
          <w:r w:rsidR="007206A3">
            <w:rPr>
              <w:rFonts w:eastAsiaTheme="minorEastAsia"/>
            </w:rPr>
            <w:instrText xml:space="preserve">CITATION Eur \l 2057 </w:instrText>
          </w:r>
          <w:r w:rsidR="001D7736">
            <w:rPr>
              <w:rFonts w:eastAsiaTheme="minorEastAsia"/>
            </w:rPr>
            <w:fldChar w:fldCharType="separate"/>
          </w:r>
          <w:r w:rsidR="00A95CFA">
            <w:rPr>
              <w:rFonts w:eastAsiaTheme="minorEastAsia"/>
              <w:noProof/>
            </w:rPr>
            <w:t xml:space="preserve"> </w:t>
          </w:r>
          <w:r w:rsidR="00A95CFA" w:rsidRPr="00A95CFA">
            <w:rPr>
              <w:rFonts w:eastAsiaTheme="minorEastAsia"/>
              <w:noProof/>
            </w:rPr>
            <w:t>(European Commission, 2018)</w:t>
          </w:r>
          <w:r w:rsidR="001D7736">
            <w:rPr>
              <w:rFonts w:eastAsiaTheme="minorEastAsia"/>
            </w:rPr>
            <w:fldChar w:fldCharType="end"/>
          </w:r>
        </w:sdtContent>
      </w:sdt>
      <w:r w:rsidRPr="00430CD2">
        <w:rPr>
          <w:rFonts w:eastAsiaTheme="minorEastAsia"/>
        </w:rPr>
        <w:t xml:space="preserve"> and </w:t>
      </w:r>
      <w:r>
        <w:rPr>
          <w:rFonts w:eastAsiaTheme="minorEastAsia"/>
        </w:rPr>
        <w:t>(for some areas) may already be openly available online (e.g.</w:t>
      </w:r>
      <w:r w:rsidRPr="00FA28B3">
        <w:rPr>
          <w:rFonts w:eastAsiaTheme="minorEastAsia"/>
        </w:rPr>
        <w:t>, held in the NASA data centre</w:t>
      </w:r>
      <w:sdt>
        <w:sdtPr>
          <w:rPr>
            <w:rFonts w:eastAsiaTheme="minorEastAsia"/>
          </w:rPr>
          <w:id w:val="-603421215"/>
          <w:citation/>
        </w:sdtPr>
        <w:sdtEndPr/>
        <w:sdtContent>
          <w:r w:rsidR="00581655">
            <w:rPr>
              <w:rFonts w:eastAsiaTheme="minorEastAsia"/>
            </w:rPr>
            <w:fldChar w:fldCharType="begin"/>
          </w:r>
          <w:r w:rsidR="00581655">
            <w:rPr>
              <w:rFonts w:eastAsiaTheme="minorEastAsia"/>
            </w:rPr>
            <w:instrText xml:space="preserve"> CITATION NAS \l 2057 </w:instrText>
          </w:r>
          <w:r w:rsidR="00581655">
            <w:rPr>
              <w:rFonts w:eastAsiaTheme="minorEastAsia"/>
            </w:rPr>
            <w:fldChar w:fldCharType="separate"/>
          </w:r>
          <w:r w:rsidR="00A95CFA">
            <w:rPr>
              <w:rFonts w:eastAsiaTheme="minorEastAsia"/>
              <w:noProof/>
            </w:rPr>
            <w:t xml:space="preserve"> </w:t>
          </w:r>
          <w:r w:rsidR="00A95CFA" w:rsidRPr="00A95CFA">
            <w:rPr>
              <w:rFonts w:eastAsiaTheme="minorEastAsia"/>
              <w:noProof/>
            </w:rPr>
            <w:t>(NASA, n.d.)</w:t>
          </w:r>
          <w:r w:rsidR="00581655">
            <w:rPr>
              <w:rFonts w:eastAsiaTheme="minorEastAsia"/>
            </w:rPr>
            <w:fldChar w:fldCharType="end"/>
          </w:r>
        </w:sdtContent>
      </w:sdt>
      <w:r w:rsidRPr="00FA28B3">
        <w:rPr>
          <w:rFonts w:eastAsiaTheme="minorEastAsia"/>
        </w:rPr>
        <w:t>).</w:t>
      </w:r>
      <w:r>
        <w:rPr>
          <w:rFonts w:eastAsiaTheme="minorEastAsia"/>
        </w:rPr>
        <w:t xml:space="preserve"> With this in mind, </w:t>
      </w:r>
      <w:r w:rsidRPr="00430CD2">
        <w:rPr>
          <w:rFonts w:eastAsiaTheme="minorEastAsia"/>
        </w:rPr>
        <w:t xml:space="preserve">we expected </w:t>
      </w:r>
      <w:r>
        <w:rPr>
          <w:rFonts w:eastAsiaTheme="minorEastAsia"/>
        </w:rPr>
        <w:t xml:space="preserve">that </w:t>
      </w:r>
      <w:r w:rsidRPr="00430CD2">
        <w:rPr>
          <w:rFonts w:eastAsiaTheme="minorEastAsia"/>
        </w:rPr>
        <w:t>there would be good uptake by authors,</w:t>
      </w:r>
      <w:r>
        <w:rPr>
          <w:rFonts w:eastAsiaTheme="minorEastAsia"/>
        </w:rPr>
        <w:t xml:space="preserve"> if not at submission but when prompted by administrators or editors – however, we did </w:t>
      </w:r>
      <w:r w:rsidRPr="00430CD2">
        <w:rPr>
          <w:rFonts w:eastAsiaTheme="minorEastAsia"/>
        </w:rPr>
        <w:t xml:space="preserve">still </w:t>
      </w:r>
      <w:r>
        <w:rPr>
          <w:rFonts w:eastAsiaTheme="minorEastAsia"/>
        </w:rPr>
        <w:t xml:space="preserve">expect to </w:t>
      </w:r>
      <w:r w:rsidRPr="00430CD2">
        <w:rPr>
          <w:rFonts w:eastAsiaTheme="minorEastAsia"/>
        </w:rPr>
        <w:t xml:space="preserve">meet </w:t>
      </w:r>
      <w:r>
        <w:rPr>
          <w:rFonts w:eastAsiaTheme="minorEastAsia"/>
        </w:rPr>
        <w:t>some levels</w:t>
      </w:r>
      <w:r w:rsidRPr="00430CD2">
        <w:rPr>
          <w:rFonts w:eastAsiaTheme="minorEastAsia"/>
        </w:rPr>
        <w:t xml:space="preserve"> of resistance</w:t>
      </w:r>
      <w:r>
        <w:rPr>
          <w:rFonts w:eastAsiaTheme="minorEastAsia"/>
        </w:rPr>
        <w:t>.</w:t>
      </w:r>
    </w:p>
    <w:p w14:paraId="7AF7BFBD" w14:textId="731BE7DC" w:rsidR="007E2A89" w:rsidRDefault="007E2A89" w:rsidP="0000489C">
      <w:pPr>
        <w:jc w:val="both"/>
        <w:rPr>
          <w:rFonts w:eastAsiaTheme="minorEastAsia"/>
        </w:rPr>
      </w:pPr>
      <w:r>
        <w:rPr>
          <w:rFonts w:eastAsiaTheme="minorEastAsia"/>
        </w:rPr>
        <w:t>Whilst we expected s</w:t>
      </w:r>
      <w:r w:rsidRPr="00CD588E">
        <w:rPr>
          <w:rFonts w:eastAsiaTheme="minorEastAsia"/>
        </w:rPr>
        <w:t xml:space="preserve">ome authors </w:t>
      </w:r>
      <w:r>
        <w:rPr>
          <w:rFonts w:eastAsiaTheme="minorEastAsia"/>
        </w:rPr>
        <w:t xml:space="preserve">to </w:t>
      </w:r>
      <w:r w:rsidRPr="00CD588E">
        <w:rPr>
          <w:rFonts w:eastAsiaTheme="minorEastAsia"/>
        </w:rPr>
        <w:t xml:space="preserve">be </w:t>
      </w:r>
      <w:r>
        <w:rPr>
          <w:rFonts w:eastAsiaTheme="minorEastAsia"/>
        </w:rPr>
        <w:t xml:space="preserve">philosophically </w:t>
      </w:r>
      <w:r w:rsidRPr="00CD588E">
        <w:rPr>
          <w:rFonts w:eastAsiaTheme="minorEastAsia"/>
        </w:rPr>
        <w:t xml:space="preserve">opposed to sharing </w:t>
      </w:r>
      <w:r>
        <w:rPr>
          <w:rFonts w:eastAsiaTheme="minorEastAsia"/>
        </w:rPr>
        <w:t xml:space="preserve">their </w:t>
      </w:r>
      <w:r w:rsidRPr="00CD588E">
        <w:rPr>
          <w:rFonts w:eastAsiaTheme="minorEastAsia"/>
        </w:rPr>
        <w:t>data</w:t>
      </w:r>
      <w:r>
        <w:rPr>
          <w:rFonts w:eastAsiaTheme="minorEastAsia"/>
        </w:rPr>
        <w:t xml:space="preserve"> (many of the common reasons </w:t>
      </w:r>
      <w:r w:rsidRPr="5DE16228">
        <w:rPr>
          <w:rFonts w:eastAsiaTheme="minorEastAsia"/>
        </w:rPr>
        <w:t xml:space="preserve">why </w:t>
      </w:r>
      <w:r>
        <w:rPr>
          <w:rFonts w:eastAsiaTheme="minorEastAsia"/>
        </w:rPr>
        <w:t>authors are opposed to data sharing are covered in the State of Open Data</w:t>
      </w:r>
      <w:sdt>
        <w:sdtPr>
          <w:rPr>
            <w:rFonts w:eastAsiaTheme="minorEastAsia"/>
          </w:rPr>
          <w:id w:val="-1709717455"/>
          <w:citation/>
        </w:sdtPr>
        <w:sdtEndPr/>
        <w:sdtContent>
          <w:r w:rsidR="002A78DB">
            <w:rPr>
              <w:rFonts w:eastAsiaTheme="minorEastAsia"/>
            </w:rPr>
            <w:fldChar w:fldCharType="begin"/>
          </w:r>
          <w:r w:rsidR="002A78DB">
            <w:rPr>
              <w:rFonts w:eastAsiaTheme="minorEastAsia"/>
            </w:rPr>
            <w:instrText xml:space="preserve"> CITATION Bay20 \l 2057 </w:instrText>
          </w:r>
          <w:r w:rsidR="002A78DB">
            <w:rPr>
              <w:rFonts w:eastAsiaTheme="minorEastAsia"/>
            </w:rPr>
            <w:fldChar w:fldCharType="separate"/>
          </w:r>
          <w:r w:rsidR="00A95CFA">
            <w:rPr>
              <w:rFonts w:eastAsiaTheme="minorEastAsia"/>
              <w:noProof/>
            </w:rPr>
            <w:t xml:space="preserve"> </w:t>
          </w:r>
          <w:r w:rsidR="00A95CFA" w:rsidRPr="00A95CFA">
            <w:rPr>
              <w:rFonts w:eastAsiaTheme="minorEastAsia"/>
              <w:noProof/>
            </w:rPr>
            <w:t>(Baynes, 2020)</w:t>
          </w:r>
          <w:r w:rsidR="002A78DB">
            <w:rPr>
              <w:rFonts w:eastAsiaTheme="minorEastAsia"/>
            </w:rPr>
            <w:fldChar w:fldCharType="end"/>
          </w:r>
        </w:sdtContent>
      </w:sdt>
      <w:r>
        <w:rPr>
          <w:rFonts w:eastAsiaTheme="minorEastAsia"/>
        </w:rPr>
        <w:t>)</w:t>
      </w:r>
      <w:r w:rsidRPr="00CD588E">
        <w:rPr>
          <w:rFonts w:eastAsiaTheme="minorEastAsia"/>
        </w:rPr>
        <w:t xml:space="preserve">, </w:t>
      </w:r>
      <w:r>
        <w:rPr>
          <w:rFonts w:eastAsiaTheme="minorEastAsia"/>
        </w:rPr>
        <w:t xml:space="preserve">we anticipated that </w:t>
      </w:r>
      <w:r w:rsidRPr="00CD588E">
        <w:rPr>
          <w:rFonts w:eastAsiaTheme="minorEastAsia"/>
        </w:rPr>
        <w:t xml:space="preserve">others would be </w:t>
      </w:r>
      <w:r>
        <w:rPr>
          <w:rFonts w:eastAsiaTheme="minorEastAsia"/>
        </w:rPr>
        <w:t xml:space="preserve">open to sharing, </w:t>
      </w:r>
      <w:r w:rsidRPr="00CD588E">
        <w:rPr>
          <w:rFonts w:eastAsiaTheme="minorEastAsia"/>
        </w:rPr>
        <w:t xml:space="preserve">but </w:t>
      </w:r>
      <w:r w:rsidRPr="654C85FB">
        <w:rPr>
          <w:rFonts w:eastAsiaTheme="minorEastAsia"/>
        </w:rPr>
        <w:t xml:space="preserve">perhaps </w:t>
      </w:r>
      <w:r w:rsidRPr="00CD588E">
        <w:rPr>
          <w:rFonts w:eastAsiaTheme="minorEastAsia"/>
        </w:rPr>
        <w:t xml:space="preserve">lack information about </w:t>
      </w:r>
      <w:r>
        <w:rPr>
          <w:rFonts w:eastAsiaTheme="minorEastAsia"/>
        </w:rPr>
        <w:t xml:space="preserve">the </w:t>
      </w:r>
      <w:r w:rsidRPr="00CD588E">
        <w:rPr>
          <w:rFonts w:eastAsiaTheme="minorEastAsia"/>
        </w:rPr>
        <w:t>key practical elements</w:t>
      </w:r>
      <w:r>
        <w:rPr>
          <w:rFonts w:eastAsiaTheme="minorEastAsia"/>
        </w:rPr>
        <w:t xml:space="preserve">, such as </w:t>
      </w:r>
      <w:r w:rsidRPr="00CD588E">
        <w:rPr>
          <w:rFonts w:eastAsiaTheme="minorEastAsia"/>
        </w:rPr>
        <w:t>how to write a D</w:t>
      </w:r>
      <w:r>
        <w:rPr>
          <w:rFonts w:eastAsiaTheme="minorEastAsia"/>
        </w:rPr>
        <w:t xml:space="preserve">ata </w:t>
      </w:r>
      <w:r w:rsidRPr="00CD588E">
        <w:rPr>
          <w:rFonts w:eastAsiaTheme="minorEastAsia"/>
        </w:rPr>
        <w:t>A</w:t>
      </w:r>
      <w:r>
        <w:rPr>
          <w:rFonts w:eastAsiaTheme="minorEastAsia"/>
        </w:rPr>
        <w:t xml:space="preserve">vailability </w:t>
      </w:r>
      <w:r w:rsidRPr="00CD588E">
        <w:rPr>
          <w:rFonts w:eastAsiaTheme="minorEastAsia"/>
        </w:rPr>
        <w:t>S</w:t>
      </w:r>
      <w:r>
        <w:rPr>
          <w:rFonts w:eastAsiaTheme="minorEastAsia"/>
        </w:rPr>
        <w:t xml:space="preserve">tatement </w:t>
      </w:r>
      <w:r w:rsidRPr="308BDE26">
        <w:rPr>
          <w:rFonts w:eastAsiaTheme="minorEastAsia"/>
        </w:rPr>
        <w:t>(</w:t>
      </w:r>
      <w:r>
        <w:rPr>
          <w:rFonts w:eastAsiaTheme="minorEastAsia"/>
        </w:rPr>
        <w:t>DAS</w:t>
      </w:r>
      <w:r w:rsidRPr="308BDE26">
        <w:rPr>
          <w:rFonts w:eastAsiaTheme="minorEastAsia"/>
        </w:rPr>
        <w:t>) or</w:t>
      </w:r>
      <w:r w:rsidRPr="00CD588E">
        <w:rPr>
          <w:rFonts w:eastAsiaTheme="minorEastAsia"/>
        </w:rPr>
        <w:t xml:space="preserve"> how to select a repository</w:t>
      </w:r>
      <w:r>
        <w:rPr>
          <w:rFonts w:eastAsiaTheme="minorEastAsia"/>
        </w:rPr>
        <w:t>,</w:t>
      </w:r>
      <w:r w:rsidRPr="00CD588E">
        <w:rPr>
          <w:rFonts w:eastAsiaTheme="minorEastAsia"/>
        </w:rPr>
        <w:t xml:space="preserve"> which would limit compliance at </w:t>
      </w:r>
      <w:r>
        <w:rPr>
          <w:rFonts w:eastAsiaTheme="minorEastAsia"/>
        </w:rPr>
        <w:t xml:space="preserve">the point of </w:t>
      </w:r>
      <w:r w:rsidRPr="00CD588E">
        <w:rPr>
          <w:rFonts w:eastAsiaTheme="minorEastAsia"/>
        </w:rPr>
        <w:t>submission</w:t>
      </w:r>
      <w:r>
        <w:rPr>
          <w:rFonts w:eastAsiaTheme="minorEastAsia"/>
        </w:rPr>
        <w:t>. Indeed, we still expect to encounter this issue for the next few years, while funders and research institutions roll-out data management plans more widely</w:t>
      </w:r>
      <w:r w:rsidRPr="001E0D3D">
        <w:rPr>
          <w:rFonts w:eastAsiaTheme="minorEastAsia"/>
        </w:rPr>
        <w:t xml:space="preserve"> </w:t>
      </w:r>
      <w:r>
        <w:rPr>
          <w:rFonts w:eastAsiaTheme="minorEastAsia"/>
        </w:rPr>
        <w:t xml:space="preserve">and open research practices become more commonplace. At the moment, the first time many authors consider sharing their data is when prompted by a journal, but as the dialogue changes and is adopted by funders and other stakeholders, this should happen earlier in the process and authors </w:t>
      </w:r>
      <w:r w:rsidRPr="3946EAFF">
        <w:rPr>
          <w:rFonts w:eastAsiaTheme="minorEastAsia"/>
        </w:rPr>
        <w:t>should</w:t>
      </w:r>
      <w:r>
        <w:rPr>
          <w:rFonts w:eastAsiaTheme="minorEastAsia"/>
        </w:rPr>
        <w:t xml:space="preserve"> become better informed and better prepared at the point of submitting to a journal.</w:t>
      </w:r>
    </w:p>
    <w:p w14:paraId="0B65E642" w14:textId="4F77E332" w:rsidR="007E2A89" w:rsidRPr="0000489C" w:rsidRDefault="007E2A89" w:rsidP="0000489C">
      <w:pPr>
        <w:jc w:val="both"/>
        <w:rPr>
          <w:rFonts w:eastAsiaTheme="minorEastAsia"/>
        </w:rPr>
      </w:pPr>
      <w:r>
        <w:rPr>
          <w:rFonts w:eastAsiaTheme="minorEastAsia"/>
        </w:rPr>
        <w:t>We also had some other concerns, which are also worth noting here. In particular</w:t>
      </w:r>
      <w:r w:rsidRPr="4E8454CD">
        <w:rPr>
          <w:rFonts w:eastAsiaTheme="minorEastAsia"/>
        </w:rPr>
        <w:t>,</w:t>
      </w:r>
      <w:r>
        <w:rPr>
          <w:rFonts w:eastAsiaTheme="minorEastAsia"/>
        </w:rPr>
        <w:t xml:space="preserve"> the impact of implementing the new policy on our editors was a key concern</w:t>
      </w:r>
      <w:r w:rsidR="00460FEC">
        <w:rPr>
          <w:rFonts w:eastAsiaTheme="minorEastAsia"/>
        </w:rPr>
        <w:t>; m</w:t>
      </w:r>
      <w:r w:rsidR="00F318A4">
        <w:rPr>
          <w:rFonts w:eastAsiaTheme="minorEastAsia"/>
        </w:rPr>
        <w:t>ainly</w:t>
      </w:r>
      <w:r w:rsidR="00460FEC">
        <w:rPr>
          <w:rFonts w:eastAsiaTheme="minorEastAsia"/>
        </w:rPr>
        <w:t>,</w:t>
      </w:r>
      <w:r>
        <w:rPr>
          <w:rFonts w:eastAsiaTheme="minorEastAsia"/>
        </w:rPr>
        <w:t xml:space="preserve"> that extra work generated by </w:t>
      </w:r>
      <w:r w:rsidR="00BA7C43">
        <w:rPr>
          <w:rFonts w:eastAsiaTheme="minorEastAsia"/>
        </w:rPr>
        <w:lastRenderedPageBreak/>
        <w:t xml:space="preserve">ensuring compliance with </w:t>
      </w:r>
      <w:r>
        <w:rPr>
          <w:rFonts w:eastAsiaTheme="minorEastAsia"/>
        </w:rPr>
        <w:t xml:space="preserve">the </w:t>
      </w:r>
      <w:r w:rsidR="00BA7C43">
        <w:rPr>
          <w:rFonts w:eastAsiaTheme="minorEastAsia"/>
        </w:rPr>
        <w:t>new</w:t>
      </w:r>
      <w:r>
        <w:rPr>
          <w:rFonts w:eastAsiaTheme="minorEastAsia"/>
        </w:rPr>
        <w:t xml:space="preserve"> policy would reduce </w:t>
      </w:r>
      <w:r w:rsidR="00BA7C43">
        <w:rPr>
          <w:rFonts w:eastAsiaTheme="minorEastAsia"/>
        </w:rPr>
        <w:t xml:space="preserve">the </w:t>
      </w:r>
      <w:r>
        <w:rPr>
          <w:rFonts w:eastAsiaTheme="minorEastAsia"/>
        </w:rPr>
        <w:t>time available for other valuable journal</w:t>
      </w:r>
      <w:r w:rsidR="00BA7C43">
        <w:rPr>
          <w:rFonts w:eastAsiaTheme="minorEastAsia"/>
        </w:rPr>
        <w:t>-</w:t>
      </w:r>
      <w:r>
        <w:rPr>
          <w:rFonts w:eastAsiaTheme="minorEastAsia"/>
        </w:rPr>
        <w:t xml:space="preserve">development tasks, such as strategic planning. We were also aware that we were going to be using administrative support to check compliance by authors at the point of submission, and not subject specialists. </w:t>
      </w:r>
      <w:r w:rsidR="00BA7C43">
        <w:rPr>
          <w:rFonts w:eastAsiaTheme="minorEastAsia"/>
        </w:rPr>
        <w:t>We were</w:t>
      </w:r>
      <w:r w:rsidR="00962A8B">
        <w:rPr>
          <w:rFonts w:eastAsiaTheme="minorEastAsia"/>
        </w:rPr>
        <w:t xml:space="preserve"> concern</w:t>
      </w:r>
      <w:r w:rsidR="00BA7C43">
        <w:rPr>
          <w:rFonts w:eastAsiaTheme="minorEastAsia"/>
        </w:rPr>
        <w:t>ed</w:t>
      </w:r>
      <w:r>
        <w:rPr>
          <w:rFonts w:eastAsiaTheme="minorEastAsia"/>
        </w:rPr>
        <w:t xml:space="preserve"> that this would also generate a high level of queries for both our teams and </w:t>
      </w:r>
      <w:r w:rsidR="00BA7C43">
        <w:rPr>
          <w:rFonts w:eastAsiaTheme="minorEastAsia"/>
        </w:rPr>
        <w:t>our</w:t>
      </w:r>
      <w:r>
        <w:rPr>
          <w:rFonts w:eastAsiaTheme="minorEastAsia"/>
        </w:rPr>
        <w:t xml:space="preserve"> editors. We also had editors and journals based across the globe, which have a global spread of authors, and were prepared for regional variations on knowledge of data-sharing practices.</w:t>
      </w:r>
    </w:p>
    <w:p w14:paraId="6DA28591" w14:textId="241039D0" w:rsidR="007E2A89" w:rsidRDefault="007E2A89" w:rsidP="3EA8EB43">
      <w:pPr>
        <w:jc w:val="both"/>
        <w:rPr>
          <w:rFonts w:eastAsiaTheme="minorEastAsia"/>
        </w:rPr>
      </w:pPr>
      <w:r>
        <w:rPr>
          <w:rFonts w:eastAsiaTheme="minorEastAsia"/>
        </w:rPr>
        <w:t>Alongside</w:t>
      </w:r>
      <w:r w:rsidRPr="3EA8EB43">
        <w:rPr>
          <w:rFonts w:eastAsiaTheme="minorEastAsia"/>
        </w:rPr>
        <w:t xml:space="preserve"> implement</w:t>
      </w:r>
      <w:r>
        <w:rPr>
          <w:rFonts w:eastAsiaTheme="minorEastAsia"/>
        </w:rPr>
        <w:t>ing</w:t>
      </w:r>
      <w:r w:rsidRPr="3EA8EB43">
        <w:rPr>
          <w:rFonts w:eastAsiaTheme="minorEastAsia"/>
        </w:rPr>
        <w:t xml:space="preserve"> the policies</w:t>
      </w:r>
      <w:r>
        <w:rPr>
          <w:rFonts w:eastAsiaTheme="minorEastAsia"/>
        </w:rPr>
        <w:t>,</w:t>
      </w:r>
      <w:r w:rsidRPr="3EA8EB43">
        <w:rPr>
          <w:rFonts w:eastAsiaTheme="minorEastAsia"/>
        </w:rPr>
        <w:t xml:space="preserve"> </w:t>
      </w:r>
      <w:r>
        <w:rPr>
          <w:rFonts w:eastAsiaTheme="minorEastAsia"/>
        </w:rPr>
        <w:t>we also wanted to</w:t>
      </w:r>
      <w:r w:rsidRPr="3EA8EB43">
        <w:rPr>
          <w:rFonts w:eastAsiaTheme="minorEastAsia"/>
        </w:rPr>
        <w:t xml:space="preserve"> closely monitor </w:t>
      </w:r>
      <w:r>
        <w:rPr>
          <w:rFonts w:eastAsiaTheme="minorEastAsia"/>
        </w:rPr>
        <w:t>the available</w:t>
      </w:r>
      <w:r w:rsidRPr="3EA8EB43">
        <w:rPr>
          <w:rFonts w:eastAsiaTheme="minorEastAsia"/>
        </w:rPr>
        <w:t xml:space="preserve"> data </w:t>
      </w:r>
      <w:r>
        <w:rPr>
          <w:rFonts w:eastAsiaTheme="minorEastAsia"/>
        </w:rPr>
        <w:t xml:space="preserve">to track the influence of the new </w:t>
      </w:r>
      <w:r w:rsidR="00673001">
        <w:rPr>
          <w:rFonts w:eastAsiaTheme="minorEastAsia"/>
        </w:rPr>
        <w:t>policy</w:t>
      </w:r>
      <w:r>
        <w:rPr>
          <w:rFonts w:eastAsiaTheme="minorEastAsia"/>
        </w:rPr>
        <w:t xml:space="preserve"> on our pilot journals</w:t>
      </w:r>
      <w:r w:rsidRPr="3EA8EB43">
        <w:rPr>
          <w:rFonts w:eastAsiaTheme="minorEastAsia"/>
        </w:rPr>
        <w:t xml:space="preserve">. The </w:t>
      </w:r>
      <w:r>
        <w:rPr>
          <w:rFonts w:eastAsiaTheme="minorEastAsia"/>
        </w:rPr>
        <w:t>first area</w:t>
      </w:r>
      <w:r w:rsidRPr="3EA8EB43">
        <w:rPr>
          <w:rFonts w:eastAsiaTheme="minorEastAsia"/>
        </w:rPr>
        <w:t xml:space="preserve"> we </w:t>
      </w:r>
      <w:r>
        <w:rPr>
          <w:rFonts w:eastAsiaTheme="minorEastAsia"/>
        </w:rPr>
        <w:t>wanted to monitor</w:t>
      </w:r>
      <w:r w:rsidRPr="3EA8EB43">
        <w:rPr>
          <w:rFonts w:eastAsiaTheme="minorEastAsia"/>
        </w:rPr>
        <w:t xml:space="preserve"> was </w:t>
      </w:r>
      <w:r>
        <w:rPr>
          <w:rFonts w:eastAsiaTheme="minorEastAsia"/>
        </w:rPr>
        <w:t xml:space="preserve">the </w:t>
      </w:r>
      <w:r w:rsidRPr="3EA8EB43">
        <w:rPr>
          <w:rFonts w:eastAsiaTheme="minorEastAsia"/>
        </w:rPr>
        <w:t xml:space="preserve">number of </w:t>
      </w:r>
      <w:r>
        <w:rPr>
          <w:rFonts w:eastAsiaTheme="minorEastAsia"/>
        </w:rPr>
        <w:t xml:space="preserve">new </w:t>
      </w:r>
      <w:r w:rsidRPr="3EA8EB43">
        <w:rPr>
          <w:rFonts w:eastAsiaTheme="minorEastAsia"/>
        </w:rPr>
        <w:t>article submissions</w:t>
      </w:r>
      <w:r>
        <w:rPr>
          <w:rFonts w:eastAsiaTheme="minorEastAsia"/>
        </w:rPr>
        <w:t>,</w:t>
      </w:r>
      <w:r w:rsidRPr="3EA8EB43">
        <w:rPr>
          <w:rFonts w:eastAsiaTheme="minorEastAsia"/>
        </w:rPr>
        <w:t xml:space="preserve"> </w:t>
      </w:r>
      <w:r>
        <w:rPr>
          <w:rFonts w:eastAsiaTheme="minorEastAsia"/>
        </w:rPr>
        <w:t>because</w:t>
      </w:r>
      <w:r w:rsidRPr="3EA8EB43">
        <w:rPr>
          <w:rFonts w:eastAsiaTheme="minorEastAsia"/>
        </w:rPr>
        <w:t xml:space="preserve"> </w:t>
      </w:r>
      <w:r>
        <w:rPr>
          <w:rFonts w:eastAsiaTheme="minorEastAsia"/>
        </w:rPr>
        <w:t xml:space="preserve">we were concerned that </w:t>
      </w:r>
      <w:r w:rsidRPr="3EA8EB43">
        <w:rPr>
          <w:rFonts w:eastAsiaTheme="minorEastAsia"/>
        </w:rPr>
        <w:t xml:space="preserve">introducing </w:t>
      </w:r>
      <w:r>
        <w:rPr>
          <w:rFonts w:eastAsiaTheme="minorEastAsia"/>
        </w:rPr>
        <w:t xml:space="preserve">such </w:t>
      </w:r>
      <w:r w:rsidRPr="3EA8EB43">
        <w:rPr>
          <w:rFonts w:eastAsiaTheme="minorEastAsia"/>
        </w:rPr>
        <w:t xml:space="preserve">a </w:t>
      </w:r>
      <w:r>
        <w:rPr>
          <w:rFonts w:eastAsiaTheme="minorEastAsia"/>
        </w:rPr>
        <w:t>prescriptive</w:t>
      </w:r>
      <w:r w:rsidRPr="3EA8EB43">
        <w:rPr>
          <w:rFonts w:eastAsiaTheme="minorEastAsia"/>
        </w:rPr>
        <w:t xml:space="preserve"> data</w:t>
      </w:r>
      <w:r>
        <w:rPr>
          <w:rFonts w:eastAsiaTheme="minorEastAsia"/>
        </w:rPr>
        <w:t xml:space="preserve">-sharing </w:t>
      </w:r>
      <w:r w:rsidRPr="3EA8EB43">
        <w:rPr>
          <w:rFonts w:eastAsiaTheme="minorEastAsia"/>
        </w:rPr>
        <w:t xml:space="preserve">policy </w:t>
      </w:r>
      <w:r>
        <w:rPr>
          <w:rFonts w:eastAsiaTheme="minorEastAsia"/>
        </w:rPr>
        <w:t>may cause</w:t>
      </w:r>
      <w:r w:rsidRPr="3EA8EB43">
        <w:rPr>
          <w:rFonts w:eastAsiaTheme="minorEastAsia"/>
        </w:rPr>
        <w:t xml:space="preserve"> authors who were unsure about sharing </w:t>
      </w:r>
      <w:r>
        <w:rPr>
          <w:rFonts w:eastAsiaTheme="minorEastAsia"/>
        </w:rPr>
        <w:t xml:space="preserve">their </w:t>
      </w:r>
      <w:r w:rsidRPr="3EA8EB43">
        <w:rPr>
          <w:rFonts w:eastAsiaTheme="minorEastAsia"/>
        </w:rPr>
        <w:t>data</w:t>
      </w:r>
      <w:r>
        <w:rPr>
          <w:rFonts w:eastAsiaTheme="minorEastAsia"/>
        </w:rPr>
        <w:t xml:space="preserve"> (either the practicalities of sharing their data or the ideology of making their data openly available)</w:t>
      </w:r>
      <w:r w:rsidRPr="3EA8EB43">
        <w:rPr>
          <w:rFonts w:eastAsiaTheme="minorEastAsia"/>
        </w:rPr>
        <w:t xml:space="preserve"> </w:t>
      </w:r>
      <w:r>
        <w:rPr>
          <w:rFonts w:eastAsiaTheme="minorEastAsia"/>
        </w:rPr>
        <w:t>to choose to submit their</w:t>
      </w:r>
      <w:r w:rsidRPr="3EA8EB43">
        <w:rPr>
          <w:rFonts w:eastAsiaTheme="minorEastAsia"/>
        </w:rPr>
        <w:t xml:space="preserve"> </w:t>
      </w:r>
      <w:r>
        <w:rPr>
          <w:rFonts w:eastAsiaTheme="minorEastAsia"/>
        </w:rPr>
        <w:t>work</w:t>
      </w:r>
      <w:r w:rsidRPr="3EA8EB43">
        <w:rPr>
          <w:rFonts w:eastAsiaTheme="minorEastAsia"/>
        </w:rPr>
        <w:t xml:space="preserve"> </w:t>
      </w:r>
      <w:r>
        <w:rPr>
          <w:rFonts w:eastAsiaTheme="minorEastAsia"/>
        </w:rPr>
        <w:t>to another journal with a less-prescriptive data-sharing policy</w:t>
      </w:r>
      <w:r w:rsidRPr="3EA8EB43">
        <w:rPr>
          <w:rFonts w:eastAsiaTheme="minorEastAsia"/>
        </w:rPr>
        <w:t xml:space="preserve">. </w:t>
      </w:r>
      <w:r>
        <w:rPr>
          <w:rFonts w:eastAsiaTheme="minorEastAsia"/>
        </w:rPr>
        <w:t>In this regard, we</w:t>
      </w:r>
      <w:r w:rsidRPr="3EA8EB43">
        <w:rPr>
          <w:rFonts w:eastAsiaTheme="minorEastAsia"/>
        </w:rPr>
        <w:t xml:space="preserve"> stressed to </w:t>
      </w:r>
      <w:r>
        <w:rPr>
          <w:rFonts w:eastAsiaTheme="minorEastAsia"/>
        </w:rPr>
        <w:t xml:space="preserve">our </w:t>
      </w:r>
      <w:r w:rsidRPr="3EA8EB43">
        <w:rPr>
          <w:rFonts w:eastAsiaTheme="minorEastAsia"/>
        </w:rPr>
        <w:t>journal editors the idea of being as “open as possible</w:t>
      </w:r>
      <w:r w:rsidRPr="34C78093">
        <w:rPr>
          <w:rFonts w:eastAsiaTheme="minorEastAsia"/>
        </w:rPr>
        <w:t>,</w:t>
      </w:r>
      <w:r w:rsidRPr="3EA8EB43">
        <w:rPr>
          <w:rFonts w:eastAsiaTheme="minorEastAsia"/>
        </w:rPr>
        <w:t xml:space="preserve"> but as closed as necessary”, and to use this </w:t>
      </w:r>
      <w:r>
        <w:rPr>
          <w:rFonts w:eastAsiaTheme="minorEastAsia"/>
        </w:rPr>
        <w:t>philosophy</w:t>
      </w:r>
      <w:r w:rsidRPr="3EA8EB43">
        <w:rPr>
          <w:rFonts w:eastAsiaTheme="minorEastAsia"/>
        </w:rPr>
        <w:t xml:space="preserve"> in </w:t>
      </w:r>
      <w:r w:rsidRPr="4A04EA61">
        <w:rPr>
          <w:rFonts w:eastAsiaTheme="minorEastAsia"/>
        </w:rPr>
        <w:t>their discussions</w:t>
      </w:r>
      <w:r w:rsidRPr="3EA8EB43">
        <w:rPr>
          <w:rFonts w:eastAsiaTheme="minorEastAsia"/>
        </w:rPr>
        <w:t xml:space="preserve"> with authors and potential authors, and we were prepared to allow some flexibility on the policy </w:t>
      </w:r>
      <w:r>
        <w:rPr>
          <w:rFonts w:eastAsiaTheme="minorEastAsia"/>
        </w:rPr>
        <w:t xml:space="preserve">during the </w:t>
      </w:r>
      <w:r w:rsidRPr="3EA8EB43">
        <w:rPr>
          <w:rFonts w:eastAsiaTheme="minorEastAsia"/>
        </w:rPr>
        <w:t xml:space="preserve">early weeks </w:t>
      </w:r>
      <w:r>
        <w:rPr>
          <w:rFonts w:eastAsiaTheme="minorEastAsia"/>
        </w:rPr>
        <w:t xml:space="preserve">of the pilot so </w:t>
      </w:r>
      <w:r w:rsidRPr="3EA8EB43">
        <w:rPr>
          <w:rFonts w:eastAsiaTheme="minorEastAsia"/>
        </w:rPr>
        <w:t xml:space="preserve">as not to </w:t>
      </w:r>
      <w:r>
        <w:rPr>
          <w:rFonts w:eastAsiaTheme="minorEastAsia"/>
        </w:rPr>
        <w:t xml:space="preserve">significantly </w:t>
      </w:r>
      <w:r w:rsidRPr="3EA8EB43">
        <w:rPr>
          <w:rFonts w:eastAsiaTheme="minorEastAsia"/>
        </w:rPr>
        <w:t xml:space="preserve">negatively </w:t>
      </w:r>
      <w:r>
        <w:rPr>
          <w:rFonts w:eastAsiaTheme="minorEastAsia"/>
        </w:rPr>
        <w:t>impact</w:t>
      </w:r>
      <w:r w:rsidRPr="3EA8EB43">
        <w:rPr>
          <w:rFonts w:eastAsiaTheme="minorEastAsia"/>
        </w:rPr>
        <w:t xml:space="preserve"> submissions.</w:t>
      </w:r>
    </w:p>
    <w:p w14:paraId="0EEB0357" w14:textId="1D86B070" w:rsidR="007E2A89" w:rsidRDefault="009A7DE1" w:rsidP="009A7DE1">
      <w:pPr>
        <w:jc w:val="both"/>
        <w:rPr>
          <w:rFonts w:eastAsiaTheme="minorEastAsia"/>
        </w:rPr>
      </w:pPr>
      <w:r>
        <w:rPr>
          <w:rFonts w:eastAsiaTheme="minorEastAsia"/>
        </w:rPr>
        <w:t>The second area</w:t>
      </w:r>
      <w:r w:rsidR="007E2A89">
        <w:rPr>
          <w:rFonts w:eastAsiaTheme="minorEastAsia"/>
        </w:rPr>
        <w:t xml:space="preserve"> was whether potential authors would want to discuss the new policy with the journal editors or Taylor &amp; Francis </w:t>
      </w:r>
      <w:r w:rsidR="007E2A89" w:rsidRPr="7921DA85">
        <w:rPr>
          <w:rFonts w:eastAsiaTheme="minorEastAsia"/>
        </w:rPr>
        <w:t>directly, in</w:t>
      </w:r>
      <w:r w:rsidR="007E2A89">
        <w:rPr>
          <w:rFonts w:eastAsiaTheme="minorEastAsia"/>
        </w:rPr>
        <w:t xml:space="preserve"> advance of submitting their paper, or whether there would be many queries regarding the communications that we had prepared for circumstances in which authors had not shared their data and included a DAS within their submission. Our concern was that this additional back-and-forth would significantly i</w:t>
      </w:r>
      <w:r w:rsidR="007E2A89" w:rsidRPr="004A75CC">
        <w:rPr>
          <w:rFonts w:eastAsiaTheme="minorEastAsia"/>
        </w:rPr>
        <w:t>ncreas</w:t>
      </w:r>
      <w:r w:rsidR="007E2A89">
        <w:rPr>
          <w:rFonts w:eastAsiaTheme="minorEastAsia"/>
        </w:rPr>
        <w:t xml:space="preserve">e the volume of email correspondence </w:t>
      </w:r>
      <w:r w:rsidR="007E2A89" w:rsidRPr="004A75CC">
        <w:rPr>
          <w:rFonts w:eastAsiaTheme="minorEastAsia"/>
        </w:rPr>
        <w:t xml:space="preserve">for </w:t>
      </w:r>
      <w:r w:rsidR="007E2A89">
        <w:rPr>
          <w:rFonts w:eastAsiaTheme="minorEastAsia"/>
        </w:rPr>
        <w:t>our academic e</w:t>
      </w:r>
      <w:r w:rsidR="007E2A89" w:rsidRPr="004A75CC">
        <w:rPr>
          <w:rFonts w:eastAsiaTheme="minorEastAsia"/>
        </w:rPr>
        <w:t>ditors.</w:t>
      </w:r>
      <w:r w:rsidR="007E2A89">
        <w:rPr>
          <w:rFonts w:eastAsiaTheme="minorEastAsia"/>
        </w:rPr>
        <w:t xml:space="preserve"> For the majority of our editors, their journal activities are not their primary occupation and instead they fit journal-related work around their own research and teaching responsibilities at their institutions. Dramatically increasing journal correspondence could negatively impact their work</w:t>
      </w:r>
      <w:r w:rsidR="007E2A89" w:rsidRPr="6450A3AC">
        <w:rPr>
          <w:rFonts w:eastAsiaTheme="minorEastAsia"/>
        </w:rPr>
        <w:t>–</w:t>
      </w:r>
      <w:r w:rsidR="007E2A89">
        <w:rPr>
          <w:rFonts w:eastAsiaTheme="minorEastAsia"/>
        </w:rPr>
        <w:t>life balance and was something we were keen to avoid.</w:t>
      </w:r>
    </w:p>
    <w:p w14:paraId="64C89E5B" w14:textId="1623246F" w:rsidR="007E2A89" w:rsidRDefault="007E2A89" w:rsidP="009A7DE1">
      <w:pPr>
        <w:jc w:val="both"/>
        <w:rPr>
          <w:rFonts w:eastAsiaTheme="minorEastAsia"/>
        </w:rPr>
      </w:pPr>
      <w:r>
        <w:rPr>
          <w:rFonts w:eastAsiaTheme="minorEastAsia"/>
        </w:rPr>
        <w:t xml:space="preserve">To pre-emptively </w:t>
      </w:r>
      <w:r w:rsidRPr="568F66B2">
        <w:rPr>
          <w:rFonts w:eastAsiaTheme="minorEastAsia"/>
        </w:rPr>
        <w:t>address</w:t>
      </w:r>
      <w:r>
        <w:rPr>
          <w:rFonts w:eastAsiaTheme="minorEastAsia"/>
        </w:rPr>
        <w:t xml:space="preserve"> this challenge, we asked our editors to reach out to their contacts at Taylor &amp; Francis should they encounter a deluge of queries, and we also provided templates to assist with replying to common queries. </w:t>
      </w:r>
      <w:r w:rsidRPr="7B00A89C">
        <w:rPr>
          <w:rFonts w:eastAsiaTheme="minorEastAsia"/>
        </w:rPr>
        <w:t xml:space="preserve">We also created </w:t>
      </w:r>
      <w:r w:rsidRPr="3B82A972">
        <w:rPr>
          <w:rFonts w:eastAsiaTheme="minorEastAsia"/>
        </w:rPr>
        <w:t>and shared a new</w:t>
      </w:r>
      <w:r>
        <w:rPr>
          <w:rFonts w:eastAsiaTheme="minorEastAsia"/>
        </w:rPr>
        <w:t xml:space="preserve"> email </w:t>
      </w:r>
      <w:r w:rsidRPr="3B82A972">
        <w:rPr>
          <w:rFonts w:eastAsiaTheme="minorEastAsia"/>
        </w:rPr>
        <w:t>inbox</w:t>
      </w:r>
      <w:r>
        <w:rPr>
          <w:rFonts w:eastAsiaTheme="minorEastAsia"/>
        </w:rPr>
        <w:t xml:space="preserve"> to assist with data-related queries from potential authors, which would be monitored by our Open Research team (</w:t>
      </w:r>
      <w:hyperlink r:id="rId12">
        <w:r w:rsidRPr="568F66B2">
          <w:rPr>
            <w:rStyle w:val="Hyperlink"/>
            <w:rFonts w:eastAsiaTheme="minorEastAsia"/>
          </w:rPr>
          <w:t>datasharing@tandf.co.uk</w:t>
        </w:r>
      </w:hyperlink>
      <w:r>
        <w:rPr>
          <w:rFonts w:eastAsiaTheme="minorEastAsia"/>
        </w:rPr>
        <w:t>).</w:t>
      </w:r>
    </w:p>
    <w:p w14:paraId="68EBD73A" w14:textId="67B0C385" w:rsidR="007E2A89" w:rsidRDefault="007E2A89" w:rsidP="006E565B">
      <w:pPr>
        <w:pStyle w:val="Heading4"/>
        <w:rPr>
          <w:rFonts w:eastAsiaTheme="minorEastAsia"/>
        </w:rPr>
      </w:pPr>
      <w:r w:rsidRPr="173D9334">
        <w:rPr>
          <w:rFonts w:eastAsiaTheme="minorEastAsia"/>
        </w:rPr>
        <w:t>Aims</w:t>
      </w:r>
      <w:r>
        <w:rPr>
          <w:rFonts w:eastAsiaTheme="minorEastAsia"/>
        </w:rPr>
        <w:t xml:space="preserve"> of the Participating Journal Editors</w:t>
      </w:r>
    </w:p>
    <w:p w14:paraId="59C2E401" w14:textId="5F2F750F" w:rsidR="007E2A89" w:rsidRDefault="007E2A89" w:rsidP="009A7DE1">
      <w:pPr>
        <w:jc w:val="both"/>
      </w:pPr>
      <w:r>
        <w:t>To ensure that we also fairly represent our editors’ experiences in this paper, we asked them a series of questions via email to allow them to share why they chose to participate in the pilot, what their experiences have been since implementing the policy on their journal, what feedback they have received, and what advice they may have to offer other journal editors who are considering adopting a similar policy. The editors have given their c</w:t>
      </w:r>
      <w:r w:rsidRPr="00775716">
        <w:t xml:space="preserve">onsent to </w:t>
      </w:r>
      <w:r>
        <w:t>include quotes from their responses.</w:t>
      </w:r>
    </w:p>
    <w:p w14:paraId="0EC9F1C6" w14:textId="715F2F40" w:rsidR="007E2A89" w:rsidRDefault="007E2A89" w:rsidP="009A7DE1">
      <w:pPr>
        <w:jc w:val="both"/>
      </w:pPr>
      <w:r>
        <w:t>Firstly, to explain why they chose to participate in the pilot, we asked the following:</w:t>
      </w:r>
    </w:p>
    <w:p w14:paraId="744CF086" w14:textId="77777777" w:rsidR="007E2A89" w:rsidRPr="00E914A7" w:rsidRDefault="007E2A89" w:rsidP="009A7DE1">
      <w:pPr>
        <w:jc w:val="both"/>
        <w:rPr>
          <w:rFonts w:eastAsiaTheme="minorEastAsia"/>
          <w:b/>
          <w:bCs/>
        </w:rPr>
      </w:pPr>
      <w:r w:rsidRPr="00E914A7">
        <w:rPr>
          <w:b/>
          <w:bCs/>
        </w:rPr>
        <w:t>How important is open data (and open research more widely) in your subject area?</w:t>
      </w:r>
    </w:p>
    <w:p w14:paraId="46B43C57" w14:textId="77777777" w:rsidR="007E2A89" w:rsidRPr="00307526" w:rsidRDefault="007E2A89" w:rsidP="009A7DE1">
      <w:pPr>
        <w:jc w:val="both"/>
        <w:rPr>
          <w:rFonts w:ascii="Calibri" w:hAnsi="Calibri" w:cs="Calibri"/>
        </w:rPr>
      </w:pPr>
      <w:r>
        <w:rPr>
          <w:rFonts w:ascii="Calibri" w:eastAsia="Calibri" w:hAnsi="Calibri" w:cs="Calibri"/>
          <w:lang w:val="en-US"/>
        </w:rPr>
        <w:t>“</w:t>
      </w:r>
      <w:r w:rsidRPr="00B537AC">
        <w:rPr>
          <w:rFonts w:ascii="Calibri" w:eastAsia="Calibri" w:hAnsi="Calibri" w:cs="Calibri"/>
          <w:i/>
          <w:iCs/>
          <w:lang w:val="en-US"/>
        </w:rPr>
        <w:t>It is important as open data can provide the reproducibility of proposed approaches or insight of a certain problem. It should be noted that many methods proposed in the past are not used any more: scientists often fail to mimic existing methods or data, simply because they were not provided or readily available.</w:t>
      </w:r>
      <w:r>
        <w:rPr>
          <w:rFonts w:ascii="Calibri" w:eastAsia="Calibri" w:hAnsi="Calibri" w:cs="Calibri"/>
          <w:lang w:val="en-US"/>
        </w:rPr>
        <w:t>”</w:t>
      </w:r>
      <w:r w:rsidRPr="00307526">
        <w:rPr>
          <w:rFonts w:ascii="Calibri" w:eastAsia="Calibri" w:hAnsi="Calibri" w:cs="Calibri"/>
          <w:lang w:val="en-US"/>
        </w:rPr>
        <w:t xml:space="preserve"> </w:t>
      </w:r>
      <w:r>
        <w:rPr>
          <w:rFonts w:ascii="Calibri" w:eastAsia="Calibri" w:hAnsi="Calibri" w:cs="Calibri"/>
          <w:lang w:val="en-US"/>
        </w:rPr>
        <w:t>–</w:t>
      </w:r>
      <w:r w:rsidRPr="00307526">
        <w:rPr>
          <w:rFonts w:ascii="Calibri" w:eastAsia="Calibri" w:hAnsi="Calibri" w:cs="Calibri"/>
          <w:lang w:val="en-US"/>
        </w:rPr>
        <w:t xml:space="preserve"> Jungho Im</w:t>
      </w:r>
      <w:r>
        <w:rPr>
          <w:rFonts w:ascii="Calibri" w:eastAsia="Calibri" w:hAnsi="Calibri" w:cs="Calibri"/>
          <w:lang w:val="en-US"/>
        </w:rPr>
        <w:t xml:space="preserve">, </w:t>
      </w:r>
      <w:r w:rsidRPr="00E914A7">
        <w:rPr>
          <w:rFonts w:ascii="Calibri" w:eastAsia="Calibri" w:hAnsi="Calibri" w:cs="Calibri"/>
          <w:i/>
          <w:iCs/>
          <w:lang w:val="en-US"/>
        </w:rPr>
        <w:t>GIScience &amp; Remote Sensing</w:t>
      </w:r>
    </w:p>
    <w:p w14:paraId="0B7BB298" w14:textId="77777777" w:rsidR="007E2A89" w:rsidRPr="00307526" w:rsidRDefault="007E2A89" w:rsidP="009A7DE1">
      <w:pPr>
        <w:jc w:val="both"/>
        <w:rPr>
          <w:rFonts w:ascii="Calibri" w:hAnsi="Calibri" w:cs="Calibri"/>
        </w:rPr>
      </w:pPr>
      <w:r>
        <w:rPr>
          <w:rFonts w:ascii="Calibri" w:eastAsia="Calibri" w:hAnsi="Calibri" w:cs="Calibri"/>
          <w:lang w:val="en-US"/>
        </w:rPr>
        <w:lastRenderedPageBreak/>
        <w:t>“</w:t>
      </w:r>
      <w:r w:rsidRPr="00B537AC">
        <w:rPr>
          <w:rFonts w:ascii="Calibri" w:eastAsia="Calibri" w:hAnsi="Calibri" w:cs="Calibri"/>
          <w:i/>
          <w:iCs/>
          <w:lang w:val="en-US"/>
        </w:rPr>
        <w:t>Sharing data and codes is very important to assure validity and advances in GIScience research.</w:t>
      </w:r>
      <w:r>
        <w:rPr>
          <w:rFonts w:ascii="Calibri" w:eastAsia="Calibri" w:hAnsi="Calibri" w:cs="Calibri"/>
          <w:lang w:val="en-US"/>
        </w:rPr>
        <w:t>”</w:t>
      </w:r>
      <w:r w:rsidRPr="00307526">
        <w:rPr>
          <w:rFonts w:ascii="Calibri" w:eastAsia="Calibri" w:hAnsi="Calibri" w:cs="Calibri"/>
          <w:lang w:val="en-US"/>
        </w:rPr>
        <w:t xml:space="preserve"> </w:t>
      </w:r>
      <w:r>
        <w:rPr>
          <w:rFonts w:ascii="Calibri" w:eastAsia="Calibri" w:hAnsi="Calibri" w:cs="Calibri"/>
          <w:lang w:val="en-US"/>
        </w:rPr>
        <w:t>–</w:t>
      </w:r>
      <w:r w:rsidRPr="00307526">
        <w:rPr>
          <w:rFonts w:ascii="Calibri" w:eastAsia="Calibri" w:hAnsi="Calibri" w:cs="Calibri"/>
          <w:lang w:val="en-US"/>
        </w:rPr>
        <w:t xml:space="preserve"> May Yuan</w:t>
      </w:r>
      <w:r>
        <w:rPr>
          <w:rFonts w:ascii="Calibri" w:eastAsia="Calibri" w:hAnsi="Calibri" w:cs="Calibri"/>
          <w:lang w:val="en-US"/>
        </w:rPr>
        <w:t>,</w:t>
      </w:r>
      <w:r w:rsidRPr="00307526">
        <w:rPr>
          <w:rFonts w:ascii="Calibri" w:eastAsia="Calibri" w:hAnsi="Calibri" w:cs="Calibri"/>
          <w:lang w:val="en-US"/>
        </w:rPr>
        <w:t xml:space="preserve"> </w:t>
      </w:r>
      <w:r w:rsidRPr="00E914A7">
        <w:rPr>
          <w:rFonts w:ascii="Calibri" w:eastAsia="Calibri" w:hAnsi="Calibri" w:cs="Calibri"/>
          <w:i/>
          <w:iCs/>
          <w:lang w:val="en-US"/>
        </w:rPr>
        <w:t>International Journal of Geographical Information Science</w:t>
      </w:r>
    </w:p>
    <w:p w14:paraId="237F34A8" w14:textId="4C2357FE" w:rsidR="007E2A89" w:rsidRPr="00E914A7" w:rsidRDefault="007E2A89" w:rsidP="009A7DE1">
      <w:pPr>
        <w:jc w:val="both"/>
        <w:rPr>
          <w:b/>
          <w:bCs/>
        </w:rPr>
      </w:pPr>
      <w:r w:rsidRPr="00E914A7">
        <w:rPr>
          <w:b/>
          <w:bCs/>
        </w:rPr>
        <w:t>Were you aware of the COPDESS Enabling FAIR data project before discussions began with T&amp;F about joining the pilot?</w:t>
      </w:r>
      <w:r>
        <w:rPr>
          <w:b/>
          <w:bCs/>
        </w:rPr>
        <w:t xml:space="preserve"> </w:t>
      </w:r>
    </w:p>
    <w:p w14:paraId="6213D6CA" w14:textId="77777777" w:rsidR="007E2A89" w:rsidRPr="00307526" w:rsidRDefault="007E2A89" w:rsidP="009A7DE1">
      <w:pPr>
        <w:jc w:val="both"/>
        <w:rPr>
          <w:rFonts w:ascii="Calibri" w:hAnsi="Calibri" w:cs="Calibri"/>
        </w:rPr>
      </w:pPr>
      <w:r>
        <w:rPr>
          <w:rFonts w:ascii="Calibri" w:eastAsia="Times New Roman" w:hAnsi="Calibri" w:cs="Calibri"/>
        </w:rPr>
        <w:t>“</w:t>
      </w:r>
      <w:r w:rsidRPr="00307526">
        <w:rPr>
          <w:rFonts w:ascii="Calibri" w:eastAsia="Times New Roman" w:hAnsi="Calibri" w:cs="Calibri"/>
        </w:rPr>
        <w:t>No. However, I was aware of various movements for open science.</w:t>
      </w:r>
      <w:r>
        <w:rPr>
          <w:rFonts w:ascii="Calibri" w:eastAsia="Times New Roman" w:hAnsi="Calibri" w:cs="Calibri"/>
        </w:rPr>
        <w:t>”</w:t>
      </w:r>
      <w:r w:rsidRPr="00307526">
        <w:rPr>
          <w:rFonts w:ascii="Calibri" w:eastAsia="Calibri" w:hAnsi="Calibri" w:cs="Calibri"/>
          <w:lang w:val="en-US"/>
        </w:rPr>
        <w:t xml:space="preserve"> </w:t>
      </w:r>
      <w:r>
        <w:rPr>
          <w:rFonts w:ascii="Calibri" w:eastAsia="Calibri" w:hAnsi="Calibri" w:cs="Calibri"/>
          <w:lang w:val="en-US"/>
        </w:rPr>
        <w:t>–</w:t>
      </w:r>
      <w:r w:rsidRPr="00307526">
        <w:rPr>
          <w:rFonts w:ascii="Calibri" w:eastAsia="Calibri" w:hAnsi="Calibri" w:cs="Calibri"/>
          <w:lang w:val="en-US"/>
        </w:rPr>
        <w:t xml:space="preserve"> May Yuan</w:t>
      </w:r>
      <w:r>
        <w:rPr>
          <w:rFonts w:ascii="Calibri" w:eastAsia="Calibri" w:hAnsi="Calibri" w:cs="Calibri"/>
          <w:lang w:val="en-US"/>
        </w:rPr>
        <w:t>,</w:t>
      </w:r>
      <w:r w:rsidRPr="00307526">
        <w:rPr>
          <w:rFonts w:ascii="Calibri" w:eastAsia="Calibri" w:hAnsi="Calibri" w:cs="Calibri"/>
          <w:lang w:val="en-US"/>
        </w:rPr>
        <w:t xml:space="preserve"> </w:t>
      </w:r>
      <w:r w:rsidRPr="00E914A7">
        <w:rPr>
          <w:rFonts w:ascii="Calibri" w:eastAsia="Calibri" w:hAnsi="Calibri" w:cs="Calibri"/>
          <w:i/>
          <w:iCs/>
          <w:lang w:val="en-US"/>
        </w:rPr>
        <w:t>International Journal of Geographical Information Science</w:t>
      </w:r>
    </w:p>
    <w:p w14:paraId="2E23E158" w14:textId="77777777" w:rsidR="007E2A89" w:rsidRPr="00E914A7" w:rsidRDefault="007E2A89" w:rsidP="009A7DE1">
      <w:pPr>
        <w:jc w:val="both"/>
        <w:rPr>
          <w:b/>
          <w:bCs/>
        </w:rPr>
      </w:pPr>
      <w:r w:rsidRPr="00E914A7">
        <w:rPr>
          <w:b/>
          <w:bCs/>
        </w:rPr>
        <w:t>Why did you choose to participate in the pilot?</w:t>
      </w:r>
    </w:p>
    <w:p w14:paraId="3188BE44" w14:textId="77777777" w:rsidR="007E2A89" w:rsidRPr="00307526" w:rsidRDefault="007E2A89" w:rsidP="009A7DE1">
      <w:pPr>
        <w:jc w:val="both"/>
        <w:rPr>
          <w:rFonts w:ascii="Calibri" w:eastAsia="Calibri" w:hAnsi="Calibri" w:cs="Calibri"/>
          <w:lang w:val="en-US"/>
        </w:rPr>
      </w:pPr>
      <w:r>
        <w:rPr>
          <w:rFonts w:ascii="Calibri" w:eastAsia="Calibri" w:hAnsi="Calibri" w:cs="Calibri"/>
          <w:lang w:val="en-US"/>
        </w:rPr>
        <w:t>“</w:t>
      </w:r>
      <w:r w:rsidRPr="00307526">
        <w:rPr>
          <w:rFonts w:ascii="Calibri" w:eastAsia="Calibri" w:hAnsi="Calibri" w:cs="Calibri"/>
          <w:lang w:val="en-US"/>
        </w:rPr>
        <w:t>I wanted to know how effective open data policy is for the journal audience and potential authors.</w:t>
      </w:r>
      <w:r>
        <w:rPr>
          <w:rFonts w:ascii="Calibri" w:eastAsia="Calibri" w:hAnsi="Calibri" w:cs="Calibri"/>
          <w:lang w:val="en-US"/>
        </w:rPr>
        <w:t>”</w:t>
      </w:r>
      <w:r w:rsidRPr="00307526">
        <w:rPr>
          <w:rFonts w:ascii="Calibri" w:eastAsia="Calibri" w:hAnsi="Calibri" w:cs="Calibri"/>
          <w:lang w:val="en-US"/>
        </w:rPr>
        <w:t xml:space="preserve"> </w:t>
      </w:r>
      <w:r>
        <w:rPr>
          <w:rFonts w:ascii="Calibri" w:eastAsia="Calibri" w:hAnsi="Calibri" w:cs="Calibri"/>
          <w:lang w:val="en-US"/>
        </w:rPr>
        <w:t>–</w:t>
      </w:r>
      <w:r w:rsidRPr="00307526">
        <w:rPr>
          <w:rFonts w:ascii="Calibri" w:eastAsia="Calibri" w:hAnsi="Calibri" w:cs="Calibri"/>
          <w:lang w:val="en-US"/>
        </w:rPr>
        <w:t xml:space="preserve"> Jungho Im</w:t>
      </w:r>
      <w:r>
        <w:rPr>
          <w:rFonts w:ascii="Calibri" w:eastAsia="Calibri" w:hAnsi="Calibri" w:cs="Calibri"/>
          <w:lang w:val="en-US"/>
        </w:rPr>
        <w:t>,</w:t>
      </w:r>
      <w:r w:rsidRPr="00307526">
        <w:rPr>
          <w:rFonts w:ascii="Calibri" w:eastAsia="Calibri" w:hAnsi="Calibri" w:cs="Calibri"/>
          <w:lang w:val="en-US"/>
        </w:rPr>
        <w:t xml:space="preserve"> </w:t>
      </w:r>
      <w:r w:rsidRPr="00E914A7">
        <w:rPr>
          <w:rFonts w:ascii="Calibri" w:eastAsia="Calibri" w:hAnsi="Calibri" w:cs="Calibri"/>
          <w:i/>
          <w:iCs/>
          <w:lang w:val="en-US"/>
        </w:rPr>
        <w:t>GIScience &amp; Remote Sensing</w:t>
      </w:r>
    </w:p>
    <w:p w14:paraId="65F8139D" w14:textId="77777777" w:rsidR="007E2A89" w:rsidRPr="00307526" w:rsidRDefault="007E2A89" w:rsidP="009A7DE1">
      <w:pPr>
        <w:jc w:val="both"/>
        <w:rPr>
          <w:rFonts w:ascii="Calibri" w:hAnsi="Calibri" w:cs="Calibri"/>
        </w:rPr>
      </w:pPr>
      <w:r>
        <w:rPr>
          <w:rFonts w:ascii="Calibri" w:hAnsi="Calibri" w:cs="Calibri"/>
        </w:rPr>
        <w:t>“</w:t>
      </w:r>
      <w:r w:rsidRPr="00E914A7">
        <w:rPr>
          <w:rFonts w:ascii="Calibri" w:hAnsi="Calibri" w:cs="Calibri"/>
          <w:i/>
          <w:iCs/>
        </w:rPr>
        <w:t>I think we were pushed along by T&amp;F. The Society Board actually voted for something a lot looser, but it seemed time to sign up for something with teeth.</w:t>
      </w:r>
      <w:r>
        <w:rPr>
          <w:rFonts w:ascii="Calibri" w:hAnsi="Calibri" w:cs="Calibri"/>
        </w:rPr>
        <w:t>”</w:t>
      </w:r>
      <w:r w:rsidRPr="00307526">
        <w:rPr>
          <w:rFonts w:ascii="Calibri" w:hAnsi="Calibri" w:cs="Calibri"/>
        </w:rPr>
        <w:t xml:space="preserve"> </w:t>
      </w:r>
      <w:r>
        <w:rPr>
          <w:rFonts w:ascii="Calibri" w:hAnsi="Calibri" w:cs="Calibri"/>
        </w:rPr>
        <w:t>–</w:t>
      </w:r>
      <w:r w:rsidRPr="00307526">
        <w:rPr>
          <w:rFonts w:ascii="Calibri" w:hAnsi="Calibri" w:cs="Calibri"/>
        </w:rPr>
        <w:t xml:space="preserve"> Nick Chrisman</w:t>
      </w:r>
      <w:r>
        <w:rPr>
          <w:rFonts w:ascii="Calibri" w:hAnsi="Calibri" w:cs="Calibri"/>
        </w:rPr>
        <w:t xml:space="preserve">, </w:t>
      </w:r>
      <w:r w:rsidRPr="00E914A7">
        <w:rPr>
          <w:rFonts w:ascii="Calibri" w:hAnsi="Calibri" w:cs="Calibri"/>
          <w:i/>
          <w:iCs/>
        </w:rPr>
        <w:t>Cartography and Geographic Information Science</w:t>
      </w:r>
    </w:p>
    <w:p w14:paraId="791550DD" w14:textId="4ABB7FD0" w:rsidR="007E2A89" w:rsidRPr="00307526" w:rsidRDefault="007E2A89" w:rsidP="009A7DE1">
      <w:pPr>
        <w:jc w:val="both"/>
        <w:rPr>
          <w:rFonts w:ascii="Calibri" w:hAnsi="Calibri" w:cs="Calibri"/>
        </w:rPr>
      </w:pPr>
      <w:r>
        <w:rPr>
          <w:rFonts w:ascii="Calibri" w:hAnsi="Calibri" w:cs="Calibri"/>
          <w:i/>
          <w:iCs/>
        </w:rPr>
        <w:t>“</w:t>
      </w:r>
      <w:r w:rsidRPr="00E914A7">
        <w:rPr>
          <w:rFonts w:ascii="Calibri" w:hAnsi="Calibri" w:cs="Calibri"/>
        </w:rPr>
        <w:t>Big Earth Data</w:t>
      </w:r>
      <w:r w:rsidRPr="00E914A7">
        <w:rPr>
          <w:rFonts w:ascii="Calibri" w:hAnsi="Calibri" w:cs="Calibri"/>
          <w:i/>
          <w:iCs/>
        </w:rPr>
        <w:t xml:space="preserve"> is a data journal; therefore, why would we not participate in the pilot! I think it is very good to be a member. I hoped that we could gain experience from participating and also give feedback to Taylor &amp; Francis.</w:t>
      </w:r>
      <w:r>
        <w:rPr>
          <w:rFonts w:ascii="Calibri" w:hAnsi="Calibri" w:cs="Calibri"/>
        </w:rPr>
        <w:t>”</w:t>
      </w:r>
      <w:r w:rsidRPr="00307526">
        <w:rPr>
          <w:rFonts w:ascii="Calibri" w:hAnsi="Calibri" w:cs="Calibri"/>
        </w:rPr>
        <w:t xml:space="preserve"> </w:t>
      </w:r>
      <w:r>
        <w:rPr>
          <w:rFonts w:ascii="Calibri" w:hAnsi="Calibri" w:cs="Calibri"/>
        </w:rPr>
        <w:t>–</w:t>
      </w:r>
      <w:r w:rsidRPr="00307526">
        <w:rPr>
          <w:rFonts w:ascii="Calibri" w:hAnsi="Calibri" w:cs="Calibri"/>
        </w:rPr>
        <w:t xml:space="preserve"> Linlin Guan</w:t>
      </w:r>
      <w:r>
        <w:rPr>
          <w:rFonts w:ascii="Calibri" w:hAnsi="Calibri" w:cs="Calibri"/>
        </w:rPr>
        <w:t>,</w:t>
      </w:r>
      <w:r w:rsidRPr="00307526">
        <w:rPr>
          <w:rFonts w:ascii="Calibri" w:hAnsi="Calibri" w:cs="Calibri"/>
        </w:rPr>
        <w:t xml:space="preserve"> </w:t>
      </w:r>
      <w:r w:rsidRPr="00E914A7">
        <w:rPr>
          <w:rFonts w:ascii="Calibri" w:hAnsi="Calibri" w:cs="Calibri"/>
          <w:i/>
          <w:iCs/>
        </w:rPr>
        <w:t>Big Earth Data</w:t>
      </w:r>
    </w:p>
    <w:p w14:paraId="41CC1E87" w14:textId="77777777" w:rsidR="007E2A89" w:rsidRPr="00307526" w:rsidRDefault="007E2A89" w:rsidP="009A7DE1">
      <w:pPr>
        <w:jc w:val="both"/>
        <w:rPr>
          <w:rFonts w:ascii="Calibri" w:hAnsi="Calibri" w:cs="Calibri"/>
        </w:rPr>
      </w:pPr>
      <w:r>
        <w:rPr>
          <w:rFonts w:ascii="Calibri" w:hAnsi="Calibri" w:cs="Calibri"/>
        </w:rPr>
        <w:t>“</w:t>
      </w:r>
      <w:r w:rsidRPr="00F04A85">
        <w:rPr>
          <w:rFonts w:ascii="Calibri" w:hAnsi="Calibri" w:cs="Calibri"/>
          <w:i/>
          <w:iCs/>
        </w:rPr>
        <w:t>I believe that this is a very important step for advances in GIScience.</w:t>
      </w:r>
      <w:r>
        <w:rPr>
          <w:rFonts w:ascii="Calibri" w:hAnsi="Calibri" w:cs="Calibri"/>
        </w:rPr>
        <w:t>”</w:t>
      </w:r>
      <w:r w:rsidRPr="00307526">
        <w:rPr>
          <w:rFonts w:ascii="Calibri" w:hAnsi="Calibri" w:cs="Calibri"/>
        </w:rPr>
        <w:t xml:space="preserve"> </w:t>
      </w:r>
      <w:r>
        <w:rPr>
          <w:rFonts w:ascii="Calibri" w:hAnsi="Calibri" w:cs="Calibri"/>
        </w:rPr>
        <w:t>–</w:t>
      </w:r>
      <w:r w:rsidRPr="00307526">
        <w:rPr>
          <w:rFonts w:ascii="Calibri" w:hAnsi="Calibri" w:cs="Calibri"/>
        </w:rPr>
        <w:t xml:space="preserve"> May Yuan</w:t>
      </w:r>
      <w:r>
        <w:rPr>
          <w:rFonts w:ascii="Calibri" w:hAnsi="Calibri" w:cs="Calibri"/>
        </w:rPr>
        <w:t xml:space="preserve">, </w:t>
      </w:r>
      <w:r w:rsidRPr="00E914A7">
        <w:rPr>
          <w:rFonts w:ascii="Calibri" w:hAnsi="Calibri" w:cs="Calibri"/>
          <w:i/>
          <w:iCs/>
        </w:rPr>
        <w:t>International Journal of Geographical Information Science</w:t>
      </w:r>
    </w:p>
    <w:p w14:paraId="6E90E4A2" w14:textId="4FFF756C" w:rsidR="007E2A89" w:rsidRDefault="007E2A89" w:rsidP="003A11EF">
      <w:pPr>
        <w:pStyle w:val="Heading3"/>
      </w:pPr>
      <w:r>
        <w:t>Implementation</w:t>
      </w:r>
    </w:p>
    <w:p w14:paraId="69D2F5EE" w14:textId="45098ADD" w:rsidR="007E2A89" w:rsidRDefault="007E2A89" w:rsidP="073F3D93">
      <w:pPr>
        <w:jc w:val="both"/>
      </w:pPr>
      <w:r>
        <w:t>Once the final list of participants had been agreed, we implemented the necessary changes to the journal workflows so that we could inform submitting authors about the new policy and ensure that we captured the necessary information on submission. This process involved updating the Instruction for Authors text on the journal website to include specific information about the policy.</w:t>
      </w:r>
    </w:p>
    <w:p w14:paraId="530F8766" w14:textId="1394260D" w:rsidR="007E2A89" w:rsidRDefault="007E2A89" w:rsidP="009A7DE1">
      <w:r>
        <w:rPr>
          <w:noProof/>
        </w:rPr>
        <w:drawing>
          <wp:inline distT="0" distB="0" distL="0" distR="0" wp14:anchorId="244F86ED" wp14:editId="27564A67">
            <wp:extent cx="4601261" cy="3009732"/>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601261" cy="3009732"/>
                    </a:xfrm>
                    <a:prstGeom prst="rect">
                      <a:avLst/>
                    </a:prstGeom>
                  </pic:spPr>
                </pic:pic>
              </a:graphicData>
            </a:graphic>
          </wp:inline>
        </w:drawing>
      </w:r>
    </w:p>
    <w:p w14:paraId="35848894" w14:textId="7E5C1D57" w:rsidR="007E2A89" w:rsidRPr="00C41317" w:rsidRDefault="007E2A89" w:rsidP="009A7DE1">
      <w:r>
        <w:t xml:space="preserve">Figure 1 – excerpt from instructions for authors of </w:t>
      </w:r>
      <w:r>
        <w:rPr>
          <w:i/>
          <w:iCs/>
        </w:rPr>
        <w:t>Australian Journal of Earth Sciences</w:t>
      </w:r>
    </w:p>
    <w:p w14:paraId="47125056" w14:textId="55F0BE3C" w:rsidR="007E2A89" w:rsidRDefault="007E2A89" w:rsidP="003D2FA1">
      <w:pPr>
        <w:jc w:val="both"/>
      </w:pPr>
      <w:r>
        <w:t xml:space="preserve">We also added a new question to the journals’ online submission systems to provide policy-specific information at the point of submission. When the new policy was launched, this question asked the </w:t>
      </w:r>
      <w:r>
        <w:lastRenderedPageBreak/>
        <w:t>authors to add the DOI of their data to the submission system and to confirm that they had included a Data Availability Statement in their manuscript.</w:t>
      </w:r>
    </w:p>
    <w:p w14:paraId="33F69FF3" w14:textId="068FC83B" w:rsidR="007E2A89" w:rsidRDefault="007E2A89" w:rsidP="003D2FA1">
      <w:pPr>
        <w:jc w:val="both"/>
      </w:pPr>
      <w:r>
        <w:t>In addition, we also overhauled our Author Services pages on Data Sharing</w:t>
      </w:r>
      <w:sdt>
        <w:sdtPr>
          <w:id w:val="-1878394413"/>
          <w:citation/>
        </w:sdtPr>
        <w:sdtEndPr/>
        <w:sdtContent>
          <w:r w:rsidR="000A0D3D">
            <w:fldChar w:fldCharType="begin"/>
          </w:r>
          <w:r w:rsidR="000A0D3D">
            <w:instrText xml:space="preserve"> CITATION Inf \l 2057 </w:instrText>
          </w:r>
          <w:r w:rsidR="000A0D3D">
            <w:fldChar w:fldCharType="separate"/>
          </w:r>
          <w:r w:rsidR="00A95CFA">
            <w:rPr>
              <w:noProof/>
            </w:rPr>
            <w:t xml:space="preserve"> (Informa UK LTD, Understanding our data sharing policies, n.d.)</w:t>
          </w:r>
          <w:r w:rsidR="000A0D3D">
            <w:fldChar w:fldCharType="end"/>
          </w:r>
        </w:sdtContent>
      </w:sdt>
      <w:r>
        <w:t xml:space="preserve"> to provide updated guidance on our suite of data-sharing policies, along with new guidance on how to write a Data Availability Statement and how to select a suitable data repository.</w:t>
      </w:r>
    </w:p>
    <w:p w14:paraId="1762EA0C" w14:textId="28E15BE2" w:rsidR="007E2A89" w:rsidRDefault="007E2A89" w:rsidP="003D2FA1">
      <w:pPr>
        <w:jc w:val="both"/>
      </w:pPr>
      <w:r>
        <w:t>We rolled out our new data-sharing policy on the pilot group of journals on 12 November 2019, which was coordinated with an update to the journal websites, the online submission systems, and some promotional messaging over our social media channels.</w:t>
      </w:r>
    </w:p>
    <w:p w14:paraId="48B98DC0" w14:textId="389AF67C" w:rsidR="007E2A89" w:rsidRDefault="007E2A89" w:rsidP="00F34174">
      <w:pPr>
        <w:pStyle w:val="Heading3"/>
      </w:pPr>
      <w:r>
        <w:t>Iterative refinement</w:t>
      </w:r>
    </w:p>
    <w:p w14:paraId="6EBC4083" w14:textId="41F6E496" w:rsidR="007E2A89" w:rsidRDefault="007E2A89" w:rsidP="00BF2BC3">
      <w:pPr>
        <w:jc w:val="both"/>
      </w:pPr>
      <w:r>
        <w:t>Since we began our pilot, we have updated a number of our processes and policies as a direct result of feedback that we received from our editors and internal colleagues, as described below.</w:t>
      </w:r>
    </w:p>
    <w:p w14:paraId="4703C505" w14:textId="5936F0C8" w:rsidR="007E2A89" w:rsidRPr="0004076C" w:rsidRDefault="007E2A89" w:rsidP="00806005">
      <w:pPr>
        <w:pStyle w:val="Heading4"/>
      </w:pPr>
      <w:r>
        <w:t>Online s</w:t>
      </w:r>
      <w:r w:rsidRPr="0004076C">
        <w:t>ubmission system</w:t>
      </w:r>
      <w:r>
        <w:t>s</w:t>
      </w:r>
    </w:p>
    <w:p w14:paraId="76AA2C27" w14:textId="0029AA22" w:rsidR="007E2A89" w:rsidRDefault="007E2A89" w:rsidP="003C6099">
      <w:pPr>
        <w:jc w:val="both"/>
      </w:pPr>
      <w:r>
        <w:t>In the first few weeks following the implementation of the new policy, we closely monitored the number of original submissions to the pilot group of journals, as well as encouraging feedback from participating editors and submitting authors to our data-sharing inbox.</w:t>
      </w:r>
    </w:p>
    <w:p w14:paraId="796CBE1D" w14:textId="0B950FAB" w:rsidR="007E2A89" w:rsidRDefault="007E2A89" w:rsidP="003C6099">
      <w:pPr>
        <w:jc w:val="both"/>
      </w:pPr>
      <w:r>
        <w:t>Initially, we were also especially alert for any negative feedback, in terms of author experience or submission “pain points”, and we were pleased to receive almost no such responses. As the pilot progressed, and we continued to monitor the performance of the participating journals, we became more comfortable that we were not going to see a significant negative impact from implementing the policy, but were concerned by the minimal feedback that we had received overall. As such, we looked more closely at the submissions that were coming through. However, on further analysis, we found that very few of the submitting authors had been appropriately engaging with the policy and complying with its requirements at the point of submission, which had led to an increase in the workload for the journal administrators and editors in encouraging authors to comply with the new policy.</w:t>
      </w:r>
    </w:p>
    <w:p w14:paraId="5BC658BE" w14:textId="581DD5D9" w:rsidR="007E2A89" w:rsidRDefault="007E2A89" w:rsidP="173D9334">
      <w:pPr>
        <w:jc w:val="both"/>
      </w:pPr>
      <w:r>
        <w:t>Therefore, we undertook a review of the workflows that we had implemented, and we amended the question in the submission systems to be more explicit about what we wanted authors to do – our main aim was to ensure that submitting authors included a Data Availability Statement in their manuscript, which included a link to their dataset, which had been deposited in a suitable (FAIR-aligned) repository. In this regard, we changed the wording from:</w:t>
      </w:r>
    </w:p>
    <w:p w14:paraId="634754C0" w14:textId="4413C30C" w:rsidR="007E2A89" w:rsidRDefault="007E2A89" w:rsidP="173D9334">
      <w:pPr>
        <w:pStyle w:val="ListParagraph"/>
        <w:numPr>
          <w:ilvl w:val="0"/>
          <w:numId w:val="3"/>
        </w:numPr>
        <w:jc w:val="both"/>
      </w:pPr>
      <w:r w:rsidRPr="173D9334">
        <w:rPr>
          <w:i/>
        </w:rPr>
        <w:t xml:space="preserve">This journal has an open data policy and authors are required to post their data in a suitable repository and link to it from the article (subject to restrictions on sharing due to data ownership or the inclusion of personally identifiable information). </w:t>
      </w:r>
      <w:r w:rsidRPr="173D9334">
        <w:rPr>
          <w:i/>
          <w:iCs/>
        </w:rPr>
        <w:t>See further information here [</w:t>
      </w:r>
      <w:hyperlink r:id="rId14">
        <w:r w:rsidRPr="173D9334">
          <w:rPr>
            <w:rStyle w:val="Hyperlink"/>
            <w:i/>
            <w:iCs/>
          </w:rPr>
          <w:t>https://authorservices.taylorandfrancis.com/data-sharing-policies/open-data/</w:t>
        </w:r>
      </w:hyperlink>
      <w:r w:rsidRPr="173D9334">
        <w:rPr>
          <w:i/>
          <w:iCs/>
        </w:rPr>
        <w:t>]</w:t>
      </w:r>
      <w:r>
        <w:br/>
      </w:r>
    </w:p>
    <w:p w14:paraId="428B40E3" w14:textId="77777777" w:rsidR="007E2A89" w:rsidRDefault="007E2A89" w:rsidP="009A7DE1">
      <w:pPr>
        <w:pStyle w:val="ListParagraph"/>
      </w:pPr>
      <w:r w:rsidRPr="173D9334">
        <w:rPr>
          <w:i/>
        </w:rPr>
        <w:t>Please provide the DOI, pre-reserved DOI or other persistent identifier for your data.</w:t>
      </w:r>
      <w:r w:rsidRPr="00660460">
        <w:t xml:space="preserve"> </w:t>
      </w:r>
    </w:p>
    <w:p w14:paraId="734516F5" w14:textId="360EF7FD" w:rsidR="007E2A89" w:rsidRDefault="007E2A89" w:rsidP="009A7DE1">
      <w:r>
        <w:t>To:</w:t>
      </w:r>
    </w:p>
    <w:p w14:paraId="49B664D5" w14:textId="57471E7E" w:rsidR="007E2A89" w:rsidRPr="00AF0A89" w:rsidRDefault="007E2A89" w:rsidP="009A7DE1">
      <w:pPr>
        <w:pStyle w:val="ListParagraph"/>
        <w:numPr>
          <w:ilvl w:val="0"/>
          <w:numId w:val="3"/>
        </w:numPr>
        <w:jc w:val="both"/>
        <w:rPr>
          <w:color w:val="000000"/>
          <w:lang w:eastAsia="en-GB"/>
        </w:rPr>
      </w:pPr>
      <w:r w:rsidRPr="173D9334">
        <w:rPr>
          <w:i/>
          <w:color w:val="000000" w:themeColor="text1"/>
          <w:lang w:eastAsia="en-GB"/>
        </w:rPr>
        <w:t xml:space="preserve">This journal has an Open Data policy and authors are required to post their data in a suitable repository, link to it from the article and include information in a Data Availability Statement (highlighting any restrictions on sharing due to data ownership or the inclusion of personally identifiable information). </w:t>
      </w:r>
      <w:r w:rsidRPr="173D9334">
        <w:rPr>
          <w:i/>
          <w:iCs/>
          <w:color w:val="000000" w:themeColor="text1"/>
          <w:lang w:eastAsia="en-GB"/>
        </w:rPr>
        <w:t>See further information here [</w:t>
      </w:r>
      <w:hyperlink r:id="rId15">
        <w:r w:rsidRPr="173D9334">
          <w:rPr>
            <w:rStyle w:val="Hyperlink"/>
            <w:i/>
            <w:iCs/>
            <w:lang w:eastAsia="en-GB"/>
          </w:rPr>
          <w:t>https://authorservices.taylorandfrancis.com/data-sharing-policies/open-and-fair/</w:t>
        </w:r>
      </w:hyperlink>
      <w:r w:rsidRPr="173D9334">
        <w:rPr>
          <w:i/>
          <w:iCs/>
          <w:color w:val="000000" w:themeColor="text1"/>
          <w:lang w:eastAsia="en-GB"/>
        </w:rPr>
        <w:t>]</w:t>
      </w:r>
    </w:p>
    <w:p w14:paraId="75470F40" w14:textId="7B88EFD1" w:rsidR="007E2A89" w:rsidRDefault="007E2A89" w:rsidP="009A7DE1">
      <w:pPr>
        <w:ind w:left="720"/>
        <w:jc w:val="both"/>
        <w:rPr>
          <w:i/>
          <w:color w:val="000000"/>
          <w:lang w:eastAsia="en-GB"/>
        </w:rPr>
      </w:pPr>
      <w:r w:rsidRPr="173D9334">
        <w:rPr>
          <w:i/>
          <w:color w:val="000000" w:themeColor="text1"/>
          <w:lang w:eastAsia="en-GB"/>
        </w:rPr>
        <w:lastRenderedPageBreak/>
        <w:t>Please confirm you have included a Data Availability Statement in your manuscript containing information on the data set linked with this submission – Yes/No</w:t>
      </w:r>
    </w:p>
    <w:p w14:paraId="4220FC37" w14:textId="77777777" w:rsidR="007E2A89" w:rsidRDefault="007E2A89" w:rsidP="009A7DE1">
      <w:pPr>
        <w:ind w:left="720"/>
        <w:jc w:val="both"/>
        <w:rPr>
          <w:i/>
          <w:color w:val="000000"/>
          <w:lang w:eastAsia="en-GB"/>
        </w:rPr>
      </w:pPr>
      <w:r w:rsidRPr="173D9334">
        <w:rPr>
          <w:i/>
          <w:color w:val="000000" w:themeColor="text1"/>
          <w:lang w:eastAsia="en-GB"/>
        </w:rPr>
        <w:t>(If no, please pause submission and add this in – for guidance on writing a Data Availability Statement see here [</w:t>
      </w:r>
      <w:hyperlink r:id="rId16">
        <w:r w:rsidRPr="173D9334">
          <w:rPr>
            <w:rStyle w:val="Hyperlink"/>
            <w:i/>
            <w:iCs/>
          </w:rPr>
          <w:t>https://authorservices.taylorandfrancis.com/data-sharing-policies/data-availability-statements/</w:t>
        </w:r>
      </w:hyperlink>
      <w:r w:rsidRPr="173D9334">
        <w:rPr>
          <w:i/>
        </w:rPr>
        <w:t>])</w:t>
      </w:r>
      <w:r>
        <w:br/>
      </w:r>
      <w:r>
        <w:br/>
      </w:r>
      <w:r w:rsidRPr="173D9334">
        <w:rPr>
          <w:i/>
          <w:color w:val="000000" w:themeColor="text1"/>
          <w:lang w:eastAsia="en-GB"/>
        </w:rPr>
        <w:t xml:space="preserve">Please provide the DOI, pre-reserved DOI or other persistent identifier for your data. </w:t>
      </w:r>
    </w:p>
    <w:p w14:paraId="5EC9AE98" w14:textId="357A9968" w:rsidR="007E2A89" w:rsidRDefault="007E2A89" w:rsidP="009A7DE1">
      <w:pPr>
        <w:jc w:val="both"/>
        <w:rPr>
          <w:color w:val="000000"/>
          <w:lang w:eastAsia="en-GB"/>
        </w:rPr>
      </w:pPr>
      <w:r w:rsidRPr="173D9334">
        <w:rPr>
          <w:color w:val="000000" w:themeColor="text1"/>
          <w:lang w:eastAsia="en-GB"/>
        </w:rPr>
        <w:t>We felt that the new question, despite being a little longer, would give our authors a much clearer indication of what is needed to comply with the policy.</w:t>
      </w:r>
    </w:p>
    <w:p w14:paraId="7A3BF33A" w14:textId="77777777" w:rsidR="007E2A89" w:rsidRPr="0004076C" w:rsidRDefault="007E2A89" w:rsidP="00806005">
      <w:pPr>
        <w:pStyle w:val="Heading4"/>
        <w:rPr>
          <w:lang w:eastAsia="en-GB"/>
        </w:rPr>
      </w:pPr>
      <w:r w:rsidRPr="0004076C">
        <w:rPr>
          <w:lang w:eastAsia="en-GB"/>
        </w:rPr>
        <w:t>Data Availability Statements</w:t>
      </w:r>
    </w:p>
    <w:p w14:paraId="46C7EB26" w14:textId="5B6D7319" w:rsidR="007E2A89" w:rsidRDefault="007E2A89" w:rsidP="173D9334">
      <w:pPr>
        <w:jc w:val="both"/>
        <w:rPr>
          <w:color w:val="000000" w:themeColor="text1"/>
          <w:lang w:eastAsia="en-GB"/>
        </w:rPr>
      </w:pPr>
      <w:r w:rsidRPr="173D9334">
        <w:rPr>
          <w:color w:val="000000" w:themeColor="text1"/>
          <w:lang w:eastAsia="en-GB"/>
        </w:rPr>
        <w:t>Pleasingly, we found that this change began to give us the desired result, with the inclusion of a larger number of Data Availability Statements in new submissions. As shown above, in our guidance to authors, we included a link to our Author Services website, which provided general instructions on how to prepare a suitable Data Availability Statement, along with requirements for the DAS texts for each of our policies.</w:t>
      </w:r>
    </w:p>
    <w:p w14:paraId="7AD79900" w14:textId="0AFFF40D" w:rsidR="007E2A89" w:rsidRDefault="007E2A89" w:rsidP="173D9334">
      <w:pPr>
        <w:jc w:val="both"/>
        <w:rPr>
          <w:color w:val="000000" w:themeColor="text1"/>
          <w:lang w:eastAsia="en-GB"/>
        </w:rPr>
      </w:pPr>
      <w:r w:rsidRPr="173D9334">
        <w:rPr>
          <w:color w:val="000000" w:themeColor="text1"/>
          <w:lang w:eastAsia="en-GB"/>
        </w:rPr>
        <w:t>However, we found that some authors were selecting the DAS text that they found easiest to comply with (often “</w:t>
      </w:r>
      <w:r w:rsidRPr="173D9334">
        <w:rPr>
          <w:i/>
          <w:iCs/>
          <w:color w:val="000000" w:themeColor="text1"/>
          <w:lang w:eastAsia="en-GB"/>
        </w:rPr>
        <w:t>data is available on request</w:t>
      </w:r>
      <w:r w:rsidRPr="173D9334">
        <w:rPr>
          <w:color w:val="000000" w:themeColor="text1"/>
          <w:lang w:eastAsia="en-GB"/>
        </w:rPr>
        <w:t>"), rather than a template that was compatible with our open &amp; FAIR data-sharing policy. Therefore, we updated our guidance in two ways. Firstly, we added examples of compliant DAS texts to each policy page (</w:t>
      </w:r>
      <w:r w:rsidRPr="007678ED">
        <w:rPr>
          <w:color w:val="000000" w:themeColor="text1"/>
          <w:lang w:eastAsia="en-GB"/>
        </w:rPr>
        <w:t xml:space="preserve">Figure </w:t>
      </w:r>
      <w:r>
        <w:rPr>
          <w:color w:val="000000" w:themeColor="text1"/>
          <w:lang w:eastAsia="en-GB"/>
        </w:rPr>
        <w:t>2</w:t>
      </w:r>
      <w:r w:rsidRPr="173D9334">
        <w:rPr>
          <w:color w:val="000000" w:themeColor="text1"/>
          <w:lang w:eastAsia="en-GB"/>
        </w:rPr>
        <w:t>). We also added a column to the table on our DAS guidance page, which clearly listed which policy/policies each template text was compatible with.</w:t>
      </w:r>
    </w:p>
    <w:p w14:paraId="7FBFA9DA" w14:textId="618B1FBE" w:rsidR="007E2A89" w:rsidRDefault="007E2A89" w:rsidP="009A7DE1">
      <w:pPr>
        <w:jc w:val="both"/>
        <w:rPr>
          <w:color w:val="000000"/>
          <w:lang w:eastAsia="en-GB"/>
        </w:rPr>
      </w:pPr>
      <w:r w:rsidRPr="00AF153C">
        <w:rPr>
          <w:noProof/>
          <w:color w:val="000000"/>
          <w:lang w:eastAsia="en-GB"/>
        </w:rPr>
        <w:drawing>
          <wp:inline distT="0" distB="0" distL="0" distR="0" wp14:anchorId="314DB303" wp14:editId="7B22E0FB">
            <wp:extent cx="4592707" cy="2599617"/>
            <wp:effectExtent l="19050" t="19050" r="17780" b="1079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642370" cy="2627728"/>
                    </a:xfrm>
                    <a:prstGeom prst="rect">
                      <a:avLst/>
                    </a:prstGeom>
                    <a:ln>
                      <a:solidFill>
                        <a:schemeClr val="tx1"/>
                      </a:solidFill>
                    </a:ln>
                  </pic:spPr>
                </pic:pic>
              </a:graphicData>
            </a:graphic>
          </wp:inline>
        </w:drawing>
      </w:r>
    </w:p>
    <w:p w14:paraId="26028EA1" w14:textId="3E2D2663" w:rsidR="007E2A89" w:rsidRDefault="007E2A89" w:rsidP="009A7DE1">
      <w:pPr>
        <w:jc w:val="both"/>
        <w:rPr>
          <w:color w:val="000000"/>
          <w:lang w:eastAsia="en-GB"/>
        </w:rPr>
      </w:pPr>
      <w:r w:rsidRPr="007678ED">
        <w:rPr>
          <w:color w:val="000000" w:themeColor="text1"/>
          <w:lang w:eastAsia="en-GB"/>
        </w:rPr>
        <w:t xml:space="preserve">Figure </w:t>
      </w:r>
      <w:r>
        <w:rPr>
          <w:color w:val="000000" w:themeColor="text1"/>
          <w:lang w:eastAsia="en-GB"/>
        </w:rPr>
        <w:t>2</w:t>
      </w:r>
      <w:r w:rsidRPr="173D9334">
        <w:rPr>
          <w:color w:val="000000" w:themeColor="text1"/>
          <w:lang w:eastAsia="en-GB"/>
        </w:rPr>
        <w:t xml:space="preserve"> - </w:t>
      </w:r>
      <w:hyperlink r:id="rId18">
        <w:r w:rsidRPr="173D9334">
          <w:rPr>
            <w:rStyle w:val="Hyperlink"/>
            <w:lang w:eastAsia="en-GB"/>
          </w:rPr>
          <w:t>https://authorservices.taylorandfrancis.com/data-sharing-policies/open-and-fair/</w:t>
        </w:r>
      </w:hyperlink>
      <w:r w:rsidRPr="173D9334">
        <w:rPr>
          <w:color w:val="000000" w:themeColor="text1"/>
          <w:lang w:eastAsia="en-GB"/>
        </w:rPr>
        <w:t xml:space="preserve"> </w:t>
      </w:r>
    </w:p>
    <w:p w14:paraId="333301B1" w14:textId="77777777" w:rsidR="007E2A89" w:rsidRPr="0004076C" w:rsidRDefault="007E2A89" w:rsidP="00806005">
      <w:pPr>
        <w:pStyle w:val="Heading4"/>
        <w:rPr>
          <w:lang w:eastAsia="en-GB"/>
        </w:rPr>
      </w:pPr>
      <w:r w:rsidRPr="0004076C">
        <w:rPr>
          <w:lang w:eastAsia="en-GB"/>
        </w:rPr>
        <w:t>Administrative Checks</w:t>
      </w:r>
    </w:p>
    <w:p w14:paraId="46D4B2E0" w14:textId="49991331" w:rsidR="007E2A89" w:rsidRDefault="007E2A89" w:rsidP="009A7DE1">
      <w:pPr>
        <w:jc w:val="both"/>
        <w:rPr>
          <w:color w:val="000000"/>
          <w:lang w:eastAsia="en-GB"/>
        </w:rPr>
      </w:pPr>
      <w:r w:rsidRPr="173D9334">
        <w:rPr>
          <w:color w:val="000000" w:themeColor="text1"/>
          <w:lang w:eastAsia="en-GB"/>
        </w:rPr>
        <w:t xml:space="preserve">Some of the journals that participated in the pilot received administrative support from a third-party company, which included performing checks of the submitted files to ensure that the authors had provided everything that was required and had complied with the submission requirements as laid out in the journal’s Instructions for Authors. For the start of the pilot, we included an additional step in the instructions for participating journals to ask the administrative support to check whether a DAS had been included in the manuscript, and early indications were that this step was working well. </w:t>
      </w:r>
      <w:r w:rsidRPr="173D9334">
        <w:rPr>
          <w:color w:val="000000" w:themeColor="text1"/>
          <w:lang w:eastAsia="en-GB"/>
        </w:rPr>
        <w:lastRenderedPageBreak/>
        <w:t xml:space="preserve">However, we wanted to see if we could enhance these checks so that they were more useful to our editors. </w:t>
      </w:r>
    </w:p>
    <w:p w14:paraId="68DF1177" w14:textId="02EF4D2E" w:rsidR="007E2A89" w:rsidRDefault="007E2A89" w:rsidP="009A7DE1">
      <w:pPr>
        <w:jc w:val="both"/>
        <w:rPr>
          <w:color w:val="000000"/>
          <w:lang w:eastAsia="en-GB"/>
        </w:rPr>
      </w:pPr>
      <w:r w:rsidRPr="173D9334">
        <w:rPr>
          <w:color w:val="000000" w:themeColor="text1"/>
          <w:lang w:eastAsia="en-GB"/>
        </w:rPr>
        <w:t>Therefore, we prepared a workflow for the journal administrators so that they could not just check whether an author had included a DAS in their manuscript, but also whether the DAS was compliant with the journal’s data-sharing policy (</w:t>
      </w:r>
      <w:r w:rsidRPr="007678ED">
        <w:rPr>
          <w:color w:val="000000" w:themeColor="text1"/>
          <w:lang w:eastAsia="en-GB"/>
        </w:rPr>
        <w:t xml:space="preserve">Figure </w:t>
      </w:r>
      <w:r>
        <w:rPr>
          <w:color w:val="000000" w:themeColor="text1"/>
          <w:lang w:eastAsia="en-GB"/>
        </w:rPr>
        <w:t>3</w:t>
      </w:r>
      <w:r w:rsidRPr="173D9334">
        <w:rPr>
          <w:color w:val="000000" w:themeColor="text1"/>
          <w:lang w:eastAsia="en-GB"/>
        </w:rPr>
        <w:t>). To accompany this new workflow, we also prepared three new email templates that the journal administrators could use in their correspondence with the authors to ask them to add or amend their DAS.</w:t>
      </w:r>
    </w:p>
    <w:p w14:paraId="3CEE2186" w14:textId="77777777" w:rsidR="007E2A89" w:rsidRDefault="007E2A89" w:rsidP="009A7DE1">
      <w:pPr>
        <w:jc w:val="both"/>
      </w:pPr>
      <w:r>
        <w:rPr>
          <w:noProof/>
        </w:rPr>
        <w:drawing>
          <wp:inline distT="0" distB="0" distL="0" distR="0" wp14:anchorId="7192D98D" wp14:editId="08938234">
            <wp:extent cx="5731510" cy="3183890"/>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731510" cy="3183890"/>
                    </a:xfrm>
                    <a:prstGeom prst="rect">
                      <a:avLst/>
                    </a:prstGeom>
                  </pic:spPr>
                </pic:pic>
              </a:graphicData>
            </a:graphic>
          </wp:inline>
        </w:drawing>
      </w:r>
    </w:p>
    <w:p w14:paraId="323C1893" w14:textId="10843BB6" w:rsidR="007E2A89" w:rsidRDefault="007E2A89" w:rsidP="009A7DE1">
      <w:pPr>
        <w:jc w:val="both"/>
      </w:pPr>
      <w:r w:rsidRPr="007678ED">
        <w:rPr>
          <w:color w:val="000000" w:themeColor="text1"/>
          <w:lang w:eastAsia="en-GB"/>
        </w:rPr>
        <w:t xml:space="preserve">Figure </w:t>
      </w:r>
      <w:r>
        <w:rPr>
          <w:color w:val="000000" w:themeColor="text1"/>
          <w:lang w:eastAsia="en-GB"/>
        </w:rPr>
        <w:t>3</w:t>
      </w:r>
      <w:r w:rsidRPr="173D9334">
        <w:rPr>
          <w:color w:val="000000" w:themeColor="text1"/>
          <w:lang w:eastAsia="en-GB"/>
        </w:rPr>
        <w:t xml:space="preserve"> – example of the new workflow for the journal administrator.</w:t>
      </w:r>
    </w:p>
    <w:p w14:paraId="1688F38A" w14:textId="20818E9C" w:rsidR="007E2A89" w:rsidRDefault="007E2A89" w:rsidP="009A7DE1">
      <w:pPr>
        <w:jc w:val="both"/>
      </w:pPr>
      <w:r>
        <w:t xml:space="preserve">We appreciated that this workflow could not fully ensure that every submitted DAS would be fully compliant with the new policy; however, we felt that this new process should tackle the most common errors that we had encountered, and allow the academic editors and peer reviewers to focus on the details of the data availability statement and whether it complied with the policy. </w:t>
      </w:r>
    </w:p>
    <w:p w14:paraId="30B2E6CA" w14:textId="16595B65" w:rsidR="007E2A89" w:rsidRDefault="007E2A89" w:rsidP="009A7DE1">
      <w:pPr>
        <w:jc w:val="both"/>
      </w:pPr>
      <w:r>
        <w:t>Journals that did not receive administrative support approached this differently, since the administrative checks were undertaken by the journals’ editors. For one of these journals, editors checked for a DAS only once a manuscript was accepted for publication, as returning manuscripts to authors for a DAS to be included was deemed burdensome when some of those manuscripts would then be rejected.</w:t>
      </w:r>
    </w:p>
    <w:p w14:paraId="75375EC7" w14:textId="031CFEF0" w:rsidR="007E2A89" w:rsidRDefault="007E2A89" w:rsidP="009A7DE1">
      <w:pPr>
        <w:jc w:val="both"/>
      </w:pPr>
      <w:r>
        <w:t>Editors who used this process developed template emails to send to authors of accepted manuscripts that did not already include a DAS, asking them to add one. This step was estimated by editors to add approximately fifteen minutes to the handling time of each accepted manuscript, as there were often multiple rounds of correspondence required. Because this step occurred only after acceptance, it also raised a dilemma for editors around whether to insist on the inclusion of a DAS where this may cause especially resistant authors to withdraw their manuscripts. Having already undertaken the handling work of these papers, the editors were more inclined to grant exceptions to the data-sharing policy if authors were unwilling to comply, even after requests from the editor.</w:t>
      </w:r>
    </w:p>
    <w:p w14:paraId="1EF3B127" w14:textId="61467FF7" w:rsidR="007E2A89" w:rsidRDefault="007E2A89" w:rsidP="00806005">
      <w:pPr>
        <w:pStyle w:val="Heading4"/>
      </w:pPr>
      <w:r>
        <w:lastRenderedPageBreak/>
        <w:t xml:space="preserve">Repository </w:t>
      </w:r>
      <w:r w:rsidRPr="173D9334">
        <w:t>guidance</w:t>
      </w:r>
    </w:p>
    <w:p w14:paraId="05DFEB9B" w14:textId="50105240" w:rsidR="007E2A89" w:rsidRDefault="007E2A89" w:rsidP="009A7DE1">
      <w:pPr>
        <w:jc w:val="both"/>
      </w:pPr>
      <w:r>
        <w:t>Whilst most of the journals that had opted to participate in the pilot program operated single-anonymised (single-blind) peer review, two of the journals operated a double-anonymised (double-blind) system. As such, we had to ensure that we included guidance for authors who would be required to share their data, but also needed to keep their identity anonymous to preserve the integrity of the peer-review process. Initially, we suggested that authors consider depositing their data in Figshare</w:t>
      </w:r>
      <w:sdt>
        <w:sdtPr>
          <w:id w:val="7960995"/>
          <w:citation/>
        </w:sdtPr>
        <w:sdtEndPr/>
        <w:sdtContent>
          <w:r w:rsidR="00635BE6">
            <w:fldChar w:fldCharType="begin"/>
          </w:r>
          <w:r w:rsidR="00635BE6">
            <w:instrText xml:space="preserve"> CITATION Mar14 \l 2057 </w:instrText>
          </w:r>
          <w:r w:rsidR="00635BE6">
            <w:fldChar w:fldCharType="separate"/>
          </w:r>
          <w:r w:rsidR="00A95CFA">
            <w:rPr>
              <w:noProof/>
            </w:rPr>
            <w:t xml:space="preserve"> (Hahnel, 2014)</w:t>
          </w:r>
          <w:r w:rsidR="00635BE6">
            <w:fldChar w:fldCharType="end"/>
          </w:r>
        </w:sdtContent>
      </w:sdt>
      <w:r>
        <w:t xml:space="preserve"> or Dryad</w:t>
      </w:r>
      <w:sdt>
        <w:sdtPr>
          <w:id w:val="-23024129"/>
          <w:citation/>
        </w:sdtPr>
        <w:sdtEndPr/>
        <w:sdtContent>
          <w:r w:rsidR="00073A80">
            <w:fldChar w:fldCharType="begin"/>
          </w:r>
          <w:r w:rsidR="00073A80">
            <w:instrText xml:space="preserve"> CITATION Dry \l 2057 </w:instrText>
          </w:r>
          <w:r w:rsidR="00073A80">
            <w:fldChar w:fldCharType="separate"/>
          </w:r>
          <w:r w:rsidR="00A95CFA">
            <w:rPr>
              <w:noProof/>
            </w:rPr>
            <w:t xml:space="preserve"> (Dryad, n.d.)</w:t>
          </w:r>
          <w:r w:rsidR="00073A80">
            <w:fldChar w:fldCharType="end"/>
          </w:r>
        </w:sdtContent>
      </w:sdt>
      <w:r>
        <w:t xml:space="preserve">, as suitable repositories which both offered the functionality to create an anonymised link to the deposited data to facilitate double-anonymised peer review. However, one of the participating journals continued to experience quite a few issues relating to failing compliance with the double-anonymized peer-review process, and so the editor chose to directly ask authors to use one of these two repositories when sharing their data. </w:t>
      </w:r>
    </w:p>
    <w:p w14:paraId="7A5E42E4" w14:textId="77777777" w:rsidR="007E2A89" w:rsidRPr="0067544E" w:rsidRDefault="007E2A89" w:rsidP="00806005">
      <w:pPr>
        <w:pStyle w:val="Heading4"/>
      </w:pPr>
      <w:r w:rsidRPr="0067544E">
        <w:t>Metadata</w:t>
      </w:r>
    </w:p>
    <w:p w14:paraId="0D391DC4" w14:textId="1C8E1FCD" w:rsidR="009A7DE1" w:rsidRPr="0004076C" w:rsidRDefault="007E2A89" w:rsidP="009A7DE1">
      <w:pPr>
        <w:jc w:val="both"/>
      </w:pPr>
      <w:r>
        <w:t>Alongside the implementation of the pilot, we also updated our metadata feed to Crossref</w:t>
      </w:r>
      <w:sdt>
        <w:sdtPr>
          <w:id w:val="983199718"/>
          <w:citation/>
        </w:sdtPr>
        <w:sdtEndPr/>
        <w:sdtContent>
          <w:r w:rsidR="008A5CF8">
            <w:fldChar w:fldCharType="begin"/>
          </w:r>
          <w:r w:rsidR="008A5CF8">
            <w:instrText xml:space="preserve"> CITATION Cro \l 2057 </w:instrText>
          </w:r>
          <w:r w:rsidR="008A5CF8">
            <w:fldChar w:fldCharType="separate"/>
          </w:r>
          <w:r w:rsidR="00A95CFA">
            <w:rPr>
              <w:noProof/>
            </w:rPr>
            <w:t xml:space="preserve"> (Crossref, n.d.)</w:t>
          </w:r>
          <w:r w:rsidR="008A5CF8">
            <w:fldChar w:fldCharType="end"/>
          </w:r>
        </w:sdtContent>
      </w:sdt>
      <w:r>
        <w:t xml:space="preserve"> </w:t>
      </w:r>
      <w:r w:rsidR="009A7DE1">
        <w:t xml:space="preserve">to include specific tags for data citations. This </w:t>
      </w:r>
      <w:r w:rsidR="43D7012D">
        <w:t>update was the culmination of</w:t>
      </w:r>
      <w:r w:rsidR="009A7DE1">
        <w:t xml:space="preserve"> a long process</w:t>
      </w:r>
      <w:r w:rsidR="5BC1469B">
        <w:t>,</w:t>
      </w:r>
      <w:r w:rsidR="009A7DE1">
        <w:t xml:space="preserve"> </w:t>
      </w:r>
      <w:r w:rsidR="43D60CD3">
        <w:t>which</w:t>
      </w:r>
      <w:r w:rsidR="009A7DE1">
        <w:t xml:space="preserve"> required </w:t>
      </w:r>
      <w:r w:rsidR="46966E42">
        <w:t>changes to</w:t>
      </w:r>
      <w:r w:rsidR="009A7DE1">
        <w:t xml:space="preserve"> our internal processes</w:t>
      </w:r>
      <w:r w:rsidR="722413C7">
        <w:t>,</w:t>
      </w:r>
      <w:r w:rsidR="009A7DE1">
        <w:t xml:space="preserve"> as well as </w:t>
      </w:r>
      <w:r w:rsidR="0FFF748B">
        <w:t xml:space="preserve">working </w:t>
      </w:r>
      <w:r w:rsidR="009A7DE1">
        <w:t>with external parties</w:t>
      </w:r>
      <w:r w:rsidR="0C33BD9F">
        <w:t>,</w:t>
      </w:r>
      <w:r w:rsidR="009A7DE1">
        <w:t xml:space="preserve"> </w:t>
      </w:r>
      <w:r w:rsidR="3B0B0E89">
        <w:t>including our</w:t>
      </w:r>
      <w:r w:rsidR="009A7DE1">
        <w:t xml:space="preserve"> typesetters and our platform provider.</w:t>
      </w:r>
      <w:r w:rsidR="047744A0">
        <w:t xml:space="preserve"> By providing this information to CrossRef</w:t>
      </w:r>
      <w:r w:rsidR="54C2D790">
        <w:t>,</w:t>
      </w:r>
      <w:r w:rsidR="047744A0">
        <w:t xml:space="preserve"> </w:t>
      </w:r>
      <w:r w:rsidR="5BAE1F1D">
        <w:t xml:space="preserve">we are </w:t>
      </w:r>
      <w:r w:rsidR="3076A155">
        <w:t>putting the metadata links in place between articles and datasets. This will enable authors of data to be able to see how data sets are being cited and get credit for the data that they create as well as the research articles.</w:t>
      </w:r>
    </w:p>
    <w:p w14:paraId="6337A245" w14:textId="466F3205" w:rsidR="009A7DE1" w:rsidRDefault="00245804" w:rsidP="00A14B2C">
      <w:pPr>
        <w:pStyle w:val="Heading2"/>
      </w:pPr>
      <w:r>
        <w:t>Results and Discussion</w:t>
      </w:r>
    </w:p>
    <w:p w14:paraId="37FAC83C" w14:textId="11B428B2" w:rsidR="00AF774F" w:rsidRDefault="199DDF1B" w:rsidP="173D9334">
      <w:pPr>
        <w:jc w:val="both"/>
      </w:pPr>
      <w:r w:rsidRPr="007678ED">
        <w:t>Following the compl</w:t>
      </w:r>
      <w:r w:rsidR="00644A1F" w:rsidRPr="007678ED">
        <w:t>e</w:t>
      </w:r>
      <w:r w:rsidRPr="007678ED">
        <w:t xml:space="preserve">tion of the first year of operating an </w:t>
      </w:r>
      <w:r w:rsidR="30C8E6FF" w:rsidRPr="007678ED">
        <w:t>open</w:t>
      </w:r>
      <w:r w:rsidR="00644A1F" w:rsidRPr="007678ED">
        <w:t xml:space="preserve"> </w:t>
      </w:r>
      <w:r w:rsidR="747DEA01" w:rsidRPr="007678ED">
        <w:t xml:space="preserve">&amp; FAIR </w:t>
      </w:r>
      <w:r w:rsidR="00644A1F" w:rsidRPr="007678ED">
        <w:t>data</w:t>
      </w:r>
      <w:r w:rsidR="2D2618E4" w:rsidRPr="007678ED">
        <w:t>-sharing</w:t>
      </w:r>
      <w:r w:rsidR="00644A1F" w:rsidRPr="007678ED">
        <w:t xml:space="preserve"> policy </w:t>
      </w:r>
      <w:r w:rsidR="23DB5E35" w:rsidRPr="007678ED">
        <w:t>on the pilot cohort of journals</w:t>
      </w:r>
      <w:r w:rsidR="50A42DF5" w:rsidRPr="007678ED">
        <w:t>,</w:t>
      </w:r>
      <w:r w:rsidR="00644A1F" w:rsidRPr="007678ED">
        <w:t xml:space="preserve"> </w:t>
      </w:r>
      <w:r w:rsidR="00515665" w:rsidRPr="007678ED">
        <w:t>we analyse</w:t>
      </w:r>
      <w:r w:rsidR="6E9B85BF" w:rsidRPr="007678ED">
        <w:t>d</w:t>
      </w:r>
      <w:r w:rsidR="00515665" w:rsidRPr="007678ED">
        <w:t xml:space="preserve"> </w:t>
      </w:r>
      <w:r w:rsidR="7941A37A" w:rsidRPr="007678ED">
        <w:t>a series of</w:t>
      </w:r>
      <w:r w:rsidR="00515665" w:rsidRPr="007678ED">
        <w:t xml:space="preserve"> key </w:t>
      </w:r>
      <w:r w:rsidR="009C1C92" w:rsidRPr="007678ED">
        <w:t>metrics to evaluate the health of our journals</w:t>
      </w:r>
      <w:r w:rsidR="2498CCED" w:rsidRPr="007678ED">
        <w:t xml:space="preserve"> and the impacts, both positive and negative, of implementing the policy</w:t>
      </w:r>
      <w:r w:rsidR="009C1C92" w:rsidRPr="007678ED">
        <w:t xml:space="preserve">. </w:t>
      </w:r>
      <w:r w:rsidR="001D3BF2" w:rsidRPr="007678ED">
        <w:t xml:space="preserve">These </w:t>
      </w:r>
      <w:r w:rsidR="0C0EAB68" w:rsidRPr="007678ED">
        <w:t xml:space="preserve">metrics </w:t>
      </w:r>
      <w:r w:rsidR="001D3BF2" w:rsidRPr="007678ED">
        <w:t>include</w:t>
      </w:r>
      <w:r w:rsidR="40682419" w:rsidRPr="007678ED">
        <w:t>d</w:t>
      </w:r>
      <w:r w:rsidR="001D3BF2" w:rsidRPr="007678ED">
        <w:t xml:space="preserve"> </w:t>
      </w:r>
      <w:r w:rsidR="399AF2C1" w:rsidRPr="007678ED">
        <w:t>the number of original</w:t>
      </w:r>
      <w:r w:rsidR="001D3BF2" w:rsidRPr="007678ED">
        <w:t xml:space="preserve"> submissions, </w:t>
      </w:r>
      <w:r w:rsidR="10023592" w:rsidRPr="007678ED">
        <w:t xml:space="preserve">the journal’s </w:t>
      </w:r>
      <w:r w:rsidR="001D3BF2" w:rsidRPr="007678ED">
        <w:t>acceptance rates</w:t>
      </w:r>
      <w:r w:rsidR="3A6382A9" w:rsidRPr="007678ED">
        <w:t>,</w:t>
      </w:r>
      <w:r w:rsidR="001D3BF2" w:rsidRPr="007678ED">
        <w:t xml:space="preserve"> and</w:t>
      </w:r>
      <w:r w:rsidR="006C0374" w:rsidRPr="007678ED">
        <w:t xml:space="preserve"> </w:t>
      </w:r>
      <w:r w:rsidR="4FA30307" w:rsidRPr="007678ED">
        <w:t xml:space="preserve">their </w:t>
      </w:r>
      <w:r w:rsidR="006C0374" w:rsidRPr="007678ED">
        <w:t>peer</w:t>
      </w:r>
      <w:r w:rsidR="73BD8417" w:rsidRPr="007678ED">
        <w:t>-</w:t>
      </w:r>
      <w:r w:rsidR="006C0374" w:rsidRPr="007678ED">
        <w:t>review</w:t>
      </w:r>
      <w:r w:rsidR="001D3BF2" w:rsidRPr="007678ED">
        <w:t xml:space="preserve"> turnaround times. </w:t>
      </w:r>
      <w:r w:rsidR="5CDEEF81" w:rsidRPr="007678ED">
        <w:t>Notably,</w:t>
      </w:r>
      <w:r w:rsidR="00BA2B21" w:rsidRPr="007678ED">
        <w:t xml:space="preserve"> the 12</w:t>
      </w:r>
      <w:r w:rsidR="459D387F" w:rsidRPr="007678ED">
        <w:t>-</w:t>
      </w:r>
      <w:r w:rsidR="00BA2B21" w:rsidRPr="007678ED">
        <w:t xml:space="preserve">month period measured here </w:t>
      </w:r>
      <w:r w:rsidR="00914D55" w:rsidRPr="007678ED">
        <w:t>(November 2019</w:t>
      </w:r>
      <w:r w:rsidR="4AB39099" w:rsidRPr="007678ED">
        <w:rPr>
          <w:rFonts w:ascii="Calibri" w:eastAsia="Calibri" w:hAnsi="Calibri" w:cs="Calibri"/>
        </w:rPr>
        <w:t>–November</w:t>
      </w:r>
      <w:r w:rsidR="00914D55" w:rsidRPr="007678ED">
        <w:rPr>
          <w:rFonts w:ascii="Calibri" w:eastAsia="Calibri" w:hAnsi="Calibri" w:cs="Calibri"/>
        </w:rPr>
        <w:t xml:space="preserve"> </w:t>
      </w:r>
      <w:r w:rsidR="00914D55" w:rsidRPr="007678ED">
        <w:t xml:space="preserve">2020) </w:t>
      </w:r>
      <w:r w:rsidR="456DE608" w:rsidRPr="007678ED">
        <w:t>overlapped with</w:t>
      </w:r>
      <w:r w:rsidR="00BA2B21" w:rsidRPr="007678ED">
        <w:t xml:space="preserve"> the </w:t>
      </w:r>
      <w:r w:rsidR="003B4A91" w:rsidRPr="007678ED">
        <w:t xml:space="preserve">start </w:t>
      </w:r>
      <w:r w:rsidR="0023400B" w:rsidRPr="007678ED">
        <w:t xml:space="preserve">of </w:t>
      </w:r>
      <w:r w:rsidR="00373D11" w:rsidRPr="007678ED">
        <w:t>the</w:t>
      </w:r>
      <w:r w:rsidR="003B4A91" w:rsidRPr="007678ED">
        <w:t xml:space="preserve"> </w:t>
      </w:r>
      <w:r w:rsidR="000B3F9E" w:rsidRPr="007678ED">
        <w:t>COVID-19 pandemic</w:t>
      </w:r>
      <w:r w:rsidR="364EFDD8" w:rsidRPr="007678ED">
        <w:t xml:space="preserve"> </w:t>
      </w:r>
      <w:r w:rsidR="000B3F9E" w:rsidRPr="007678ED">
        <w:t xml:space="preserve">and </w:t>
      </w:r>
      <w:r w:rsidR="5D865EBC" w:rsidRPr="007678ED">
        <w:t>included</w:t>
      </w:r>
      <w:r w:rsidR="000B3F9E" w:rsidRPr="007678ED">
        <w:t xml:space="preserve"> </w:t>
      </w:r>
      <w:r w:rsidR="1BF5EA62" w:rsidRPr="007678ED">
        <w:t>the capture of</w:t>
      </w:r>
      <w:r w:rsidR="000B3F9E" w:rsidRPr="007678ED">
        <w:t xml:space="preserve"> data </w:t>
      </w:r>
      <w:r w:rsidR="347782FF" w:rsidRPr="007678ED">
        <w:t>during</w:t>
      </w:r>
      <w:r w:rsidR="000B3F9E" w:rsidRPr="007678ED">
        <w:t xml:space="preserve"> periods of lockdown </w:t>
      </w:r>
      <w:r w:rsidR="008D769B" w:rsidRPr="007678ED">
        <w:t>across the world</w:t>
      </w:r>
      <w:r w:rsidR="00770FA0" w:rsidRPr="007678ED">
        <w:t xml:space="preserve">. </w:t>
      </w:r>
      <w:r w:rsidR="00975E9A" w:rsidRPr="007678ED">
        <w:t xml:space="preserve">The restrictions </w:t>
      </w:r>
      <w:r w:rsidR="24536B27" w:rsidRPr="007678ED">
        <w:t>of movement</w:t>
      </w:r>
      <w:r w:rsidR="45C42723" w:rsidRPr="007678ED">
        <w:t xml:space="preserve">, trade, and learning </w:t>
      </w:r>
      <w:r w:rsidR="24536B27" w:rsidRPr="007678ED">
        <w:t xml:space="preserve">that were </w:t>
      </w:r>
      <w:r w:rsidR="00975E9A" w:rsidRPr="007678ED">
        <w:t xml:space="preserve">placed on individuals </w:t>
      </w:r>
      <w:r w:rsidR="21EA6B17" w:rsidRPr="007678ED">
        <w:t xml:space="preserve">and institutions </w:t>
      </w:r>
      <w:r w:rsidR="00975E9A" w:rsidRPr="007678ED">
        <w:t xml:space="preserve">during this time </w:t>
      </w:r>
      <w:r w:rsidR="0095125A" w:rsidRPr="007678ED">
        <w:t>affected all areas of life, including scientific research and publishing</w:t>
      </w:r>
      <w:r w:rsidR="67C1350B" w:rsidRPr="007678ED">
        <w:t>,</w:t>
      </w:r>
      <w:r w:rsidR="0001715A" w:rsidRPr="007678ED">
        <w:t xml:space="preserve"> and so any conclusions drawn from this data need to </w:t>
      </w:r>
      <w:r w:rsidR="3D63A45B" w:rsidRPr="007678ED">
        <w:t>b</w:t>
      </w:r>
      <w:r w:rsidR="0001715A" w:rsidRPr="007678ED">
        <w:t>e</w:t>
      </w:r>
      <w:r w:rsidR="3D63A45B" w:rsidRPr="007678ED">
        <w:t xml:space="preserve"> understood in this context</w:t>
      </w:r>
      <w:r w:rsidR="0001715A" w:rsidRPr="007678ED">
        <w:t>.</w:t>
      </w:r>
      <w:r w:rsidR="0001715A">
        <w:t xml:space="preserve"> </w:t>
      </w:r>
    </w:p>
    <w:p w14:paraId="1D7895A6" w14:textId="21D99B10" w:rsidR="006D1810" w:rsidRDefault="004E62C0" w:rsidP="173D9334">
      <w:pPr>
        <w:jc w:val="both"/>
      </w:pPr>
      <w:r>
        <w:t xml:space="preserve">The other </w:t>
      </w:r>
      <w:r w:rsidR="77E987BD">
        <w:t xml:space="preserve">key </w:t>
      </w:r>
      <w:r>
        <w:t xml:space="preserve">factor </w:t>
      </w:r>
      <w:r w:rsidR="0018D329">
        <w:t>wa</w:t>
      </w:r>
      <w:r w:rsidR="005D46E5">
        <w:t>s editor engagement. Whilst this was an opt</w:t>
      </w:r>
      <w:r w:rsidR="79059DC8">
        <w:t>-in</w:t>
      </w:r>
      <w:r w:rsidR="005D46E5">
        <w:t xml:space="preserve"> </w:t>
      </w:r>
      <w:r w:rsidR="62E5771B">
        <w:t>pi</w:t>
      </w:r>
      <w:r w:rsidR="005D46E5">
        <w:t>l</w:t>
      </w:r>
      <w:r w:rsidR="62E5771B">
        <w:t>ot</w:t>
      </w:r>
      <w:r w:rsidR="005D46E5">
        <w:t xml:space="preserve"> that </w:t>
      </w:r>
      <w:r w:rsidR="0F1198AA">
        <w:t>our e</w:t>
      </w:r>
      <w:r w:rsidR="005D46E5">
        <w:t xml:space="preserve">ditors chose to </w:t>
      </w:r>
      <w:r w:rsidR="0DF0FD77">
        <w:t>participate in</w:t>
      </w:r>
      <w:r w:rsidR="005D46E5">
        <w:t xml:space="preserve">, we </w:t>
      </w:r>
      <w:r w:rsidR="60CEA2C4">
        <w:t>saw</w:t>
      </w:r>
      <w:r w:rsidR="005D46E5">
        <w:t xml:space="preserve"> </w:t>
      </w:r>
      <w:r w:rsidR="201BC480">
        <w:t>quite-</w:t>
      </w:r>
      <w:r w:rsidR="005D46E5">
        <w:t>differing levels of engagement</w:t>
      </w:r>
      <w:r w:rsidR="00AB1A3C">
        <w:t xml:space="preserve"> by </w:t>
      </w:r>
      <w:r w:rsidR="256441ED">
        <w:t>the e</w:t>
      </w:r>
      <w:r w:rsidR="00AB1A3C">
        <w:t>ditors</w:t>
      </w:r>
      <w:r w:rsidR="138DAC24">
        <w:t>,</w:t>
      </w:r>
      <w:r w:rsidR="00AB1A3C">
        <w:t xml:space="preserve"> </w:t>
      </w:r>
      <w:r w:rsidR="6A90757B">
        <w:t>in particular around</w:t>
      </w:r>
      <w:r w:rsidR="008B2F28">
        <w:t xml:space="preserve"> how strictly they enforced the policy.</w:t>
      </w:r>
      <w:r w:rsidR="008022A3">
        <w:t xml:space="preserve"> </w:t>
      </w:r>
      <w:r w:rsidR="00984941">
        <w:t>Finally,</w:t>
      </w:r>
      <w:r w:rsidR="008022A3">
        <w:t xml:space="preserve"> some of the </w:t>
      </w:r>
      <w:r w:rsidR="60992DF8">
        <w:t xml:space="preserve">participating </w:t>
      </w:r>
      <w:r w:rsidR="008022A3">
        <w:t>journals ha</w:t>
      </w:r>
      <w:r w:rsidR="085A813A">
        <w:t>d</w:t>
      </w:r>
      <w:r w:rsidR="008022A3">
        <w:t xml:space="preserve"> administrative support provided by the publisher, </w:t>
      </w:r>
      <w:r w:rsidR="04FE274B">
        <w:t>which</w:t>
      </w:r>
      <w:r w:rsidR="00DE116D">
        <w:t xml:space="preserve"> </w:t>
      </w:r>
      <w:r w:rsidR="280C3E70">
        <w:t>allowed us to</w:t>
      </w:r>
      <w:r w:rsidR="008022A3">
        <w:t xml:space="preserve"> introduce checks on policy compliance (</w:t>
      </w:r>
      <w:r w:rsidR="47D0C87A">
        <w:t>such as the</w:t>
      </w:r>
      <w:r w:rsidR="008022A3">
        <w:t xml:space="preserve"> inclusion of a </w:t>
      </w:r>
      <w:r w:rsidR="00E85458">
        <w:t>D</w:t>
      </w:r>
      <w:r w:rsidR="03A535D7">
        <w:t>AS</w:t>
      </w:r>
      <w:r w:rsidR="008022A3">
        <w:t xml:space="preserve">) </w:t>
      </w:r>
      <w:r w:rsidR="6C8152FF">
        <w:t>on</w:t>
      </w:r>
      <w:r w:rsidR="008022A3">
        <w:t xml:space="preserve"> submission, but this </w:t>
      </w:r>
      <w:r w:rsidR="0D9AD894">
        <w:t>wa</w:t>
      </w:r>
      <w:r w:rsidR="008022A3">
        <w:t xml:space="preserve">s not </w:t>
      </w:r>
      <w:r w:rsidR="4BEC38D0">
        <w:t>the case for all</w:t>
      </w:r>
      <w:r w:rsidR="00654AFE">
        <w:t xml:space="preserve"> of </w:t>
      </w:r>
      <w:r w:rsidR="4BEC38D0">
        <w:t>the participating journals</w:t>
      </w:r>
      <w:r w:rsidR="008022A3">
        <w:t>.</w:t>
      </w:r>
    </w:p>
    <w:p w14:paraId="1E7AE9C7" w14:textId="6BF58D43" w:rsidR="00290510" w:rsidRDefault="00442AC0" w:rsidP="00442AC0">
      <w:pPr>
        <w:pStyle w:val="Heading3"/>
      </w:pPr>
      <w:r>
        <w:t>Original Submissions and Acceptance Rates</w:t>
      </w:r>
    </w:p>
    <w:p w14:paraId="7EFA227C" w14:textId="5BBE5089" w:rsidR="00EC56CC" w:rsidRDefault="005F0C3D" w:rsidP="005F0C3D">
      <w:pPr>
        <w:jc w:val="both"/>
      </w:pPr>
      <w:r>
        <w:t>Across all of the participating journals in the pilot,</w:t>
      </w:r>
      <w:r w:rsidR="000C7B85">
        <w:t xml:space="preserve"> </w:t>
      </w:r>
      <w:r>
        <w:t xml:space="preserve">the number of original </w:t>
      </w:r>
      <w:r w:rsidR="000C7B85">
        <w:t xml:space="preserve">submissions </w:t>
      </w:r>
      <w:r>
        <w:t>remained</w:t>
      </w:r>
      <w:r w:rsidR="000C7B85">
        <w:t xml:space="preserve"> </w:t>
      </w:r>
      <w:r w:rsidR="00646374">
        <w:t xml:space="preserve">consistent </w:t>
      </w:r>
      <w:r w:rsidR="00690E49">
        <w:t>in 2020</w:t>
      </w:r>
      <w:r w:rsidR="00941D17">
        <w:t xml:space="preserve"> compared with the previous year</w:t>
      </w:r>
      <w:r w:rsidR="00690E49">
        <w:t xml:space="preserve">. </w:t>
      </w:r>
      <w:r w:rsidR="000865F9">
        <w:t>E</w:t>
      </w:r>
      <w:r w:rsidR="00690E49">
        <w:t>ach journal ha</w:t>
      </w:r>
      <w:r w:rsidR="000865F9">
        <w:t>d</w:t>
      </w:r>
      <w:r w:rsidR="00690E49">
        <w:t xml:space="preserve"> its own trajectory</w:t>
      </w:r>
      <w:r w:rsidR="000865F9">
        <w:t>,</w:t>
      </w:r>
      <w:r w:rsidR="00690E49">
        <w:t xml:space="preserve"> </w:t>
      </w:r>
      <w:r w:rsidR="007126D6">
        <w:t>owing to</w:t>
      </w:r>
      <w:r w:rsidR="00690E49">
        <w:t xml:space="preserve"> a </w:t>
      </w:r>
      <w:r w:rsidR="007126D6">
        <w:t>range</w:t>
      </w:r>
      <w:r w:rsidR="00690E49">
        <w:t xml:space="preserve"> of factors, but </w:t>
      </w:r>
      <w:r w:rsidR="0087065B">
        <w:t xml:space="preserve">we confidently </w:t>
      </w:r>
      <w:r w:rsidR="00CB49BF">
        <w:t>believe</w:t>
      </w:r>
      <w:r w:rsidR="0087065B">
        <w:t xml:space="preserve"> that introducing </w:t>
      </w:r>
      <w:r w:rsidR="00CB49BF">
        <w:t>the open &amp; FAIR</w:t>
      </w:r>
      <w:r w:rsidR="0087065B">
        <w:t xml:space="preserve"> data</w:t>
      </w:r>
      <w:r w:rsidR="00CB49BF">
        <w:t>-</w:t>
      </w:r>
      <w:r w:rsidR="0087065B">
        <w:t xml:space="preserve">sharing policy </w:t>
      </w:r>
      <w:r w:rsidR="00CB49BF">
        <w:t>did</w:t>
      </w:r>
      <w:r w:rsidR="0087065B">
        <w:t xml:space="preserve"> not ha</w:t>
      </w:r>
      <w:r w:rsidR="00CB49BF">
        <w:t>ve</w:t>
      </w:r>
      <w:r w:rsidR="0087065B">
        <w:t xml:space="preserve"> a</w:t>
      </w:r>
      <w:r w:rsidR="00947B0B">
        <w:t xml:space="preserve"> </w:t>
      </w:r>
      <w:r w:rsidR="0087065B">
        <w:t>n</w:t>
      </w:r>
      <w:r w:rsidR="00947B0B">
        <w:t>egative</w:t>
      </w:r>
      <w:r w:rsidR="0087065B">
        <w:t xml:space="preserve"> effect on the </w:t>
      </w:r>
      <w:r w:rsidR="00CB49BF">
        <w:t xml:space="preserve">number of original </w:t>
      </w:r>
      <w:r w:rsidR="0087065B">
        <w:t>submissions</w:t>
      </w:r>
      <w:r w:rsidR="00CB49BF" w:rsidRPr="00CB49BF">
        <w:t xml:space="preserve"> </w:t>
      </w:r>
      <w:r w:rsidR="00CB49BF">
        <w:t>to the participating</w:t>
      </w:r>
      <w:r w:rsidR="00CB49BF" w:rsidRPr="00CB49BF">
        <w:t xml:space="preserve"> </w:t>
      </w:r>
      <w:r w:rsidR="00CB49BF">
        <w:t>journals</w:t>
      </w:r>
      <w:r w:rsidR="0087065B">
        <w:t xml:space="preserve">. </w:t>
      </w:r>
      <w:r w:rsidR="00E24518">
        <w:t>C</w:t>
      </w:r>
      <w:r w:rsidR="00113621">
        <w:t>onsidered alongside t</w:t>
      </w:r>
      <w:r w:rsidR="000349E8">
        <w:t xml:space="preserve">he </w:t>
      </w:r>
      <w:r w:rsidR="00E24518">
        <w:t>feedback</w:t>
      </w:r>
      <w:r w:rsidR="000349E8">
        <w:t xml:space="preserve"> </w:t>
      </w:r>
      <w:r w:rsidR="00E24518">
        <w:t xml:space="preserve">received </w:t>
      </w:r>
      <w:r w:rsidR="000349E8">
        <w:t xml:space="preserve">from </w:t>
      </w:r>
      <w:r w:rsidR="00E24518">
        <w:t>our journal e</w:t>
      </w:r>
      <w:r w:rsidR="000349E8">
        <w:t>ditors</w:t>
      </w:r>
      <w:r w:rsidR="00E24518">
        <w:t>,</w:t>
      </w:r>
      <w:r w:rsidR="000349E8">
        <w:t xml:space="preserve"> we </w:t>
      </w:r>
      <w:r w:rsidR="00297475">
        <w:t>can conclude</w:t>
      </w:r>
      <w:r w:rsidR="000349E8">
        <w:t xml:space="preserve"> that authors </w:t>
      </w:r>
      <w:r w:rsidR="00297475">
        <w:t xml:space="preserve">in this subject area </w:t>
      </w:r>
      <w:r w:rsidR="000349E8">
        <w:t xml:space="preserve">have generally been </w:t>
      </w:r>
      <w:r w:rsidR="00297475">
        <w:t>willing</w:t>
      </w:r>
      <w:r w:rsidR="000349E8">
        <w:t xml:space="preserve"> </w:t>
      </w:r>
      <w:r w:rsidR="00297475">
        <w:t xml:space="preserve">and able </w:t>
      </w:r>
      <w:r w:rsidR="000349E8">
        <w:t xml:space="preserve">to complying with the </w:t>
      </w:r>
      <w:r w:rsidR="00297475">
        <w:t xml:space="preserve">new </w:t>
      </w:r>
      <w:r w:rsidR="000349E8">
        <w:t xml:space="preserve">policy and </w:t>
      </w:r>
      <w:r w:rsidR="00FA770F">
        <w:t xml:space="preserve">to </w:t>
      </w:r>
      <w:r w:rsidR="000349E8">
        <w:t>shar</w:t>
      </w:r>
      <w:r w:rsidR="00FA770F">
        <w:t>e</w:t>
      </w:r>
      <w:r w:rsidR="000349E8">
        <w:t xml:space="preserve"> the</w:t>
      </w:r>
      <w:r w:rsidR="00735F0C">
        <w:t xml:space="preserve">ir data </w:t>
      </w:r>
      <w:r w:rsidR="00B64452">
        <w:t>alongside</w:t>
      </w:r>
      <w:r w:rsidR="00FA770F">
        <w:t xml:space="preserve"> and prior to the submission of</w:t>
      </w:r>
      <w:r w:rsidR="00B64452">
        <w:t xml:space="preserve"> their research article</w:t>
      </w:r>
      <w:r w:rsidR="00735F0C">
        <w:t>.</w:t>
      </w:r>
    </w:p>
    <w:p w14:paraId="795F44CC" w14:textId="4DA0FF7A" w:rsidR="00ED3672" w:rsidRDefault="00DE754E" w:rsidP="00816516">
      <w:pPr>
        <w:jc w:val="both"/>
      </w:pPr>
      <w:r>
        <w:t xml:space="preserve">We </w:t>
      </w:r>
      <w:r w:rsidR="00816516">
        <w:t xml:space="preserve">also considered the number of articles accepted by the participating journals, along with their </w:t>
      </w:r>
      <w:r w:rsidR="000811A8">
        <w:t xml:space="preserve">acceptance rates. </w:t>
      </w:r>
      <w:r w:rsidR="002047F7">
        <w:t>In this regard, the</w:t>
      </w:r>
      <w:r w:rsidR="000B4608">
        <w:t xml:space="preserve"> acceptance rate </w:t>
      </w:r>
      <w:r w:rsidR="002047F7">
        <w:t>was</w:t>
      </w:r>
      <w:r w:rsidR="000B4608">
        <w:t xml:space="preserve"> </w:t>
      </w:r>
      <w:r w:rsidR="002047F7">
        <w:t xml:space="preserve">determined to be the </w:t>
      </w:r>
      <w:r w:rsidR="000B4608">
        <w:t xml:space="preserve">percentage of articles </w:t>
      </w:r>
      <w:r w:rsidR="002047F7">
        <w:t>that</w:t>
      </w:r>
      <w:r w:rsidR="000B4608">
        <w:t xml:space="preserve"> </w:t>
      </w:r>
      <w:r w:rsidR="002047F7">
        <w:t>we</w:t>
      </w:r>
      <w:r w:rsidR="000B4608">
        <w:t>re ultimately accepted for publication in the journal</w:t>
      </w:r>
      <w:r>
        <w:t xml:space="preserve"> (</w:t>
      </w:r>
      <w:r w:rsidR="005E6D61">
        <w:t>following any</w:t>
      </w:r>
      <w:r>
        <w:t xml:space="preserve"> revisions and</w:t>
      </w:r>
      <w:r w:rsidR="005E6D61">
        <w:t>/or</w:t>
      </w:r>
      <w:r>
        <w:t xml:space="preserve"> </w:t>
      </w:r>
      <w:r>
        <w:lastRenderedPageBreak/>
        <w:t>resubmissions)</w:t>
      </w:r>
      <w:r w:rsidR="000B4608">
        <w:t>.</w:t>
      </w:r>
      <w:r>
        <w:t xml:space="preserve"> A</w:t>
      </w:r>
      <w:r w:rsidR="003512FA">
        <w:t xml:space="preserve">s </w:t>
      </w:r>
      <w:r w:rsidR="005E6D61">
        <w:t>before</w:t>
      </w:r>
      <w:r w:rsidR="003512FA">
        <w:t xml:space="preserve">, each journal </w:t>
      </w:r>
      <w:r w:rsidR="005E6D61">
        <w:t xml:space="preserve">again </w:t>
      </w:r>
      <w:r w:rsidR="003512FA">
        <w:t>ha</w:t>
      </w:r>
      <w:r w:rsidR="005E6D61">
        <w:t>d</w:t>
      </w:r>
      <w:r w:rsidR="003512FA">
        <w:t xml:space="preserve"> its own trajectory of acceptance rates</w:t>
      </w:r>
      <w:r w:rsidR="005E6D61">
        <w:t>,</w:t>
      </w:r>
      <w:r w:rsidR="003512FA">
        <w:t xml:space="preserve"> </w:t>
      </w:r>
      <w:r w:rsidR="00F663A9">
        <w:t xml:space="preserve">but </w:t>
      </w:r>
      <w:r w:rsidR="005E6D61">
        <w:t xml:space="preserve">we once again found </w:t>
      </w:r>
      <w:r w:rsidR="00983B61">
        <w:t xml:space="preserve">no clear </w:t>
      </w:r>
      <w:r w:rsidR="0046142B">
        <w:t xml:space="preserve">influence </w:t>
      </w:r>
      <w:r w:rsidR="00983B61">
        <w:t xml:space="preserve">of the </w:t>
      </w:r>
      <w:r w:rsidR="0046142B">
        <w:t xml:space="preserve">new </w:t>
      </w:r>
      <w:r w:rsidR="00983B61">
        <w:t>data</w:t>
      </w:r>
      <w:r w:rsidR="0046142B">
        <w:t>-sharing</w:t>
      </w:r>
      <w:r w:rsidR="00983B61">
        <w:t xml:space="preserve"> policy</w:t>
      </w:r>
      <w:r w:rsidR="0046142B">
        <w:t xml:space="preserve"> on the acceptance rates of the participating journals</w:t>
      </w:r>
      <w:r w:rsidR="00073EAD">
        <w:t xml:space="preserve">, which indicated that the implementation of an </w:t>
      </w:r>
      <w:r w:rsidR="007678ED">
        <w:t>O</w:t>
      </w:r>
      <w:r w:rsidR="00073EAD">
        <w:t>pen &amp; FAIR data-sharing policy was neither a driver of, not a barrier to, the submission of quality research</w:t>
      </w:r>
      <w:r w:rsidR="00983B61">
        <w:t>.</w:t>
      </w:r>
    </w:p>
    <w:p w14:paraId="1EE3773B" w14:textId="01FD0475" w:rsidR="00C57DBA" w:rsidRDefault="00634E03" w:rsidP="00AF774F">
      <w:r>
        <w:rPr>
          <w:noProof/>
        </w:rPr>
        <w:drawing>
          <wp:inline distT="0" distB="0" distL="0" distR="0" wp14:anchorId="62A0C0B0" wp14:editId="509E5A9A">
            <wp:extent cx="6332561" cy="4258102"/>
            <wp:effectExtent l="0" t="0" r="11430" b="9525"/>
            <wp:docPr id="9" name="Chart 9">
              <a:extLst xmlns:a="http://schemas.openxmlformats.org/drawingml/2006/main">
                <a:ext uri="{FF2B5EF4-FFF2-40B4-BE49-F238E27FC236}">
                  <a16:creationId xmlns:a16="http://schemas.microsoft.com/office/drawing/2014/main" id="{6CE635C7-ECC4-4E3E-A525-848F53EC8AE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52C29645" w14:textId="2F320E65" w:rsidR="0061571D" w:rsidRDefault="0061571D" w:rsidP="00F261D1">
      <w:pPr>
        <w:pStyle w:val="Heading3"/>
      </w:pPr>
      <w:r>
        <w:t>Peer</w:t>
      </w:r>
      <w:r w:rsidR="00F261D1">
        <w:t>-</w:t>
      </w:r>
      <w:r>
        <w:t>review times</w:t>
      </w:r>
    </w:p>
    <w:p w14:paraId="709DF352" w14:textId="6C674736" w:rsidR="0061571D" w:rsidRDefault="0061571D" w:rsidP="004765C7">
      <w:pPr>
        <w:jc w:val="both"/>
      </w:pPr>
      <w:r>
        <w:t>We also monitor</w:t>
      </w:r>
      <w:r w:rsidR="004765C7">
        <w:t>ed</w:t>
      </w:r>
      <w:r>
        <w:t xml:space="preserve"> </w:t>
      </w:r>
      <w:r w:rsidR="004765C7">
        <w:t>the peer-</w:t>
      </w:r>
      <w:r>
        <w:t xml:space="preserve">review times for </w:t>
      </w:r>
      <w:r w:rsidR="004765C7">
        <w:t xml:space="preserve">the </w:t>
      </w:r>
      <w:r>
        <w:t xml:space="preserve">journals </w:t>
      </w:r>
      <w:r w:rsidR="004765C7">
        <w:t xml:space="preserve">that were </w:t>
      </w:r>
      <w:r>
        <w:t xml:space="preserve">involved in the pilot. Specifically, we </w:t>
      </w:r>
      <w:r w:rsidR="004765C7">
        <w:t xml:space="preserve">compared the </w:t>
      </w:r>
      <w:r>
        <w:t xml:space="preserve">median </w:t>
      </w:r>
      <w:r w:rsidR="004765C7">
        <w:t xml:space="preserve">number of </w:t>
      </w:r>
      <w:r>
        <w:t xml:space="preserve">days to first decision and </w:t>
      </w:r>
      <w:r w:rsidR="004765C7">
        <w:t xml:space="preserve">the </w:t>
      </w:r>
      <w:r>
        <w:t xml:space="preserve">median </w:t>
      </w:r>
      <w:r w:rsidR="004765C7">
        <w:t xml:space="preserve">number of </w:t>
      </w:r>
      <w:r>
        <w:t xml:space="preserve">days to final decision. We also monitored the </w:t>
      </w:r>
      <w:r w:rsidR="004765C7">
        <w:t xml:space="preserve">number of </w:t>
      </w:r>
      <w:r>
        <w:t xml:space="preserve">papers </w:t>
      </w:r>
      <w:r w:rsidR="004765C7">
        <w:t xml:space="preserve">that were withdrawn post-submission </w:t>
      </w:r>
      <w:r>
        <w:t xml:space="preserve">for </w:t>
      </w:r>
      <w:r w:rsidR="004765C7">
        <w:t xml:space="preserve">the </w:t>
      </w:r>
      <w:r>
        <w:t>pilot journals.</w:t>
      </w:r>
    </w:p>
    <w:p w14:paraId="768C9542" w14:textId="27D00198" w:rsidR="0061571D" w:rsidRDefault="004765C7" w:rsidP="004765C7">
      <w:pPr>
        <w:jc w:val="both"/>
      </w:pPr>
      <w:r>
        <w:t>O</w:t>
      </w:r>
      <w:r w:rsidR="0061571D">
        <w:t xml:space="preserve">f the </w:t>
      </w:r>
      <w:r>
        <w:t xml:space="preserve">six participating </w:t>
      </w:r>
      <w:r w:rsidR="0061571D">
        <w:t>journals</w:t>
      </w:r>
      <w:r>
        <w:t>, four</w:t>
      </w:r>
      <w:r w:rsidR="0061571D">
        <w:t xml:space="preserve"> </w:t>
      </w:r>
      <w:r>
        <w:t>showed</w:t>
      </w:r>
      <w:r w:rsidR="0061571D">
        <w:t xml:space="preserve"> a </w:t>
      </w:r>
      <w:r>
        <w:t>shortening</w:t>
      </w:r>
      <w:r w:rsidR="0061571D">
        <w:t xml:space="preserve"> in the number of days to first decision </w:t>
      </w:r>
      <w:r>
        <w:t>compared to the corresponding times in 2019, whilst the other</w:t>
      </w:r>
      <w:r w:rsidR="0061571D">
        <w:t xml:space="preserve"> </w:t>
      </w:r>
      <w:r>
        <w:t xml:space="preserve">two </w:t>
      </w:r>
      <w:r w:rsidR="0061571D">
        <w:t xml:space="preserve">journals </w:t>
      </w:r>
      <w:r>
        <w:t>only showed</w:t>
      </w:r>
      <w:r w:rsidR="0061571D">
        <w:t xml:space="preserve"> </w:t>
      </w:r>
      <w:r>
        <w:t xml:space="preserve">very </w:t>
      </w:r>
      <w:r w:rsidR="0061571D">
        <w:t>small increase</w:t>
      </w:r>
      <w:r>
        <w:t>s</w:t>
      </w:r>
      <w:r w:rsidR="0061571D">
        <w:t xml:space="preserve"> </w:t>
      </w:r>
      <w:r>
        <w:t>(0</w:t>
      </w:r>
      <w:r>
        <w:rPr>
          <w:rFonts w:cstheme="minorHAnsi"/>
        </w:rPr>
        <w:t>–</w:t>
      </w:r>
      <w:r>
        <w:t>2</w:t>
      </w:r>
      <w:r w:rsidR="0061571D">
        <w:t xml:space="preserve"> day</w:t>
      </w:r>
      <w:r>
        <w:t>s) in 2020</w:t>
      </w:r>
      <w:r w:rsidR="0061571D">
        <w:t>.</w:t>
      </w:r>
    </w:p>
    <w:p w14:paraId="1FFD4A45" w14:textId="55435910" w:rsidR="00C57DBA" w:rsidRDefault="004765C7" w:rsidP="004765C7">
      <w:pPr>
        <w:jc w:val="both"/>
      </w:pPr>
      <w:r>
        <w:t xml:space="preserve">The picture was more varied for the number of days </w:t>
      </w:r>
      <w:r w:rsidR="0061571D">
        <w:t>to final decision</w:t>
      </w:r>
      <w:r w:rsidR="00F80CDF">
        <w:t>:</w:t>
      </w:r>
      <w:r w:rsidR="0061571D">
        <w:t xml:space="preserve"> </w:t>
      </w:r>
      <w:r w:rsidR="00F80CDF">
        <w:t>o</w:t>
      </w:r>
      <w:r w:rsidR="0061571D">
        <w:t xml:space="preserve">ne journal </w:t>
      </w:r>
      <w:r w:rsidR="00F80CDF">
        <w:t>showed</w:t>
      </w:r>
      <w:r w:rsidR="0061571D">
        <w:t xml:space="preserve"> an increase in </w:t>
      </w:r>
      <w:r w:rsidR="00F80CDF">
        <w:t xml:space="preserve">the number of days </w:t>
      </w:r>
      <w:r w:rsidR="0061571D">
        <w:t xml:space="preserve">to final decision of over 30 days, </w:t>
      </w:r>
      <w:r w:rsidR="00F80CDF">
        <w:t xml:space="preserve">whilst </w:t>
      </w:r>
      <w:r w:rsidR="0061571D">
        <w:t xml:space="preserve">two journals </w:t>
      </w:r>
      <w:r w:rsidR="00F80CDF">
        <w:t>showed</w:t>
      </w:r>
      <w:r w:rsidR="0061571D">
        <w:t xml:space="preserve"> </w:t>
      </w:r>
      <w:r w:rsidR="00F80CDF">
        <w:t>smaller changes (</w:t>
      </w:r>
      <w:r w:rsidR="0061571D">
        <w:rPr>
          <w:rFonts w:cstheme="minorHAnsi"/>
        </w:rPr>
        <w:t>±</w:t>
      </w:r>
      <w:r w:rsidR="0061571D">
        <w:t>3 days</w:t>
      </w:r>
      <w:r w:rsidR="00F80CDF">
        <w:t>)</w:t>
      </w:r>
      <w:r w:rsidR="0061571D">
        <w:t xml:space="preserve">, and two </w:t>
      </w:r>
      <w:r w:rsidR="00F80CDF">
        <w:t>showed</w:t>
      </w:r>
      <w:r w:rsidR="0061571D">
        <w:t xml:space="preserve"> sizable reductions </w:t>
      </w:r>
      <w:r w:rsidR="00F80CDF">
        <w:t>(</w:t>
      </w:r>
      <w:r w:rsidR="0061571D">
        <w:t>28 and 45 days</w:t>
      </w:r>
      <w:r w:rsidR="00F80CDF">
        <w:t>)</w:t>
      </w:r>
      <w:r w:rsidR="0061571D">
        <w:t>.</w:t>
      </w:r>
    </w:p>
    <w:p w14:paraId="6C0C1DC4" w14:textId="50DB5A44" w:rsidR="00F3208A" w:rsidRDefault="005F67C4" w:rsidP="004765C7">
      <w:pPr>
        <w:jc w:val="both"/>
      </w:pPr>
      <w:r w:rsidRPr="007678ED">
        <w:t xml:space="preserve">We have prepared a (journal anonymised) sheet of the raw data which is available </w:t>
      </w:r>
      <w:r w:rsidR="001C5939" w:rsidRPr="001C5939">
        <w:t xml:space="preserve">on Zenodo </w:t>
      </w:r>
      <w:r w:rsidR="001C5939" w:rsidRPr="001C5939">
        <w:rPr>
          <w:rFonts w:ascii="Roboto" w:hAnsi="Roboto"/>
          <w:color w:val="333333"/>
          <w:sz w:val="21"/>
          <w:szCs w:val="21"/>
          <w:shd w:val="clear" w:color="auto" w:fill="F5F5F5"/>
        </w:rPr>
        <w:t>https://doi.org/10.5281/zenodo.5283977</w:t>
      </w:r>
      <w:r w:rsidR="00F80CDF" w:rsidRPr="001C5939">
        <w:t>.</w:t>
      </w:r>
    </w:p>
    <w:p w14:paraId="49F4A5BA" w14:textId="2FE8A908" w:rsidR="00015D60" w:rsidRDefault="00015D60" w:rsidP="00F261D1">
      <w:pPr>
        <w:pStyle w:val="Heading3"/>
      </w:pPr>
      <w:r>
        <w:t>Article citations</w:t>
      </w:r>
    </w:p>
    <w:p w14:paraId="4986B918" w14:textId="54CC6CCD" w:rsidR="00015D60" w:rsidRDefault="00015D60" w:rsidP="00015D60">
      <w:pPr>
        <w:jc w:val="both"/>
      </w:pPr>
      <w:r>
        <w:t xml:space="preserve">Finally, we </w:t>
      </w:r>
      <w:r w:rsidR="000773DE">
        <w:t>were</w:t>
      </w:r>
      <w:r>
        <w:t xml:space="preserve"> interested </w:t>
      </w:r>
      <w:r w:rsidR="00A95470">
        <w:t>in</w:t>
      </w:r>
      <w:r>
        <w:t xml:space="preserve"> investigat</w:t>
      </w:r>
      <w:r w:rsidR="00A95470">
        <w:t>ing</w:t>
      </w:r>
      <w:r>
        <w:t xml:space="preserve"> the extent to which the deposition and citation of underlying data supports</w:t>
      </w:r>
      <w:r>
        <w:rPr>
          <w:rFonts w:cstheme="minorHAnsi"/>
        </w:rPr>
        <w:t>—</w:t>
      </w:r>
      <w:r>
        <w:t>and perhaps enhances</w:t>
      </w:r>
      <w:r>
        <w:rPr>
          <w:rFonts w:cstheme="minorHAnsi"/>
        </w:rPr>
        <w:t>—</w:t>
      </w:r>
      <w:r>
        <w:t>the us</w:t>
      </w:r>
      <w:r w:rsidR="000773DE">
        <w:t>ability</w:t>
      </w:r>
      <w:r>
        <w:t xml:space="preserve"> of an article. To understand this, we felt that </w:t>
      </w:r>
      <w:r w:rsidR="000773DE">
        <w:t>any</w:t>
      </w:r>
      <w:r>
        <w:t xml:space="preserve"> increased visibility and reuse/iteration of a piece of work </w:t>
      </w:r>
      <w:r w:rsidR="000773DE">
        <w:t xml:space="preserve">that might result from the </w:t>
      </w:r>
      <w:r w:rsidR="000773DE">
        <w:lastRenderedPageBreak/>
        <w:t xml:space="preserve">sharing of underlying data </w:t>
      </w:r>
      <w:r>
        <w:t xml:space="preserve">might be inferred from citations to the main research article in which the work was reported, as well as from citations </w:t>
      </w:r>
      <w:r w:rsidR="000773DE">
        <w:t>to</w:t>
      </w:r>
      <w:r>
        <w:t xml:space="preserve"> the data </w:t>
      </w:r>
      <w:r w:rsidR="000773DE">
        <w:t xml:space="preserve">deposit </w:t>
      </w:r>
      <w:r>
        <w:t>or accompanying published data note, if any. Therefore, we also wanted to investigate any changes in citation performance of the participating journals, following the implementation of the pilot.</w:t>
      </w:r>
    </w:p>
    <w:p w14:paraId="28224EAD" w14:textId="563769DF" w:rsidR="00015D60" w:rsidRDefault="00015D60" w:rsidP="00015D60">
      <w:pPr>
        <w:jc w:val="both"/>
      </w:pPr>
      <w:r>
        <w:t xml:space="preserve">However, citations of a journal article take time to accrue, as the work must first be published following peer-review, and then disseminated, read, and finally iterated upon or critiqued, with an accompanying citation. Traditional citation metrics allow for this delay time by considering citations to an article in the subsequent years following publication. For our purpose, this means that we can only expect to gain a fuller understanding of the influence of adopting an open </w:t>
      </w:r>
      <w:r w:rsidR="009C7B1C">
        <w:t xml:space="preserve">&amp; FAIR </w:t>
      </w:r>
      <w:r>
        <w:t>data-sharing policy</w:t>
      </w:r>
      <w:r w:rsidR="009C7B1C">
        <w:t xml:space="preserve"> over the </w:t>
      </w:r>
      <w:r w:rsidR="000773DE">
        <w:t>coming few</w:t>
      </w:r>
      <w:r w:rsidR="009C7B1C">
        <w:t xml:space="preserve"> years. However, we were still interested to see whether there were any notable short-term changes to the citation patterns for the participating journals, and so we used the 2020 Web of Science Immediacy Index, released in June 2021, to look for any signs of an impact on citations.</w:t>
      </w:r>
    </w:p>
    <w:p w14:paraId="29A01657" w14:textId="52A6B435" w:rsidR="00015D60" w:rsidRDefault="00DC645E" w:rsidP="00DC645E">
      <w:pPr>
        <w:jc w:val="center"/>
        <w:rPr>
          <w:highlight w:val="yellow"/>
        </w:rPr>
      </w:pPr>
      <w:r>
        <w:rPr>
          <w:noProof/>
        </w:rPr>
        <w:drawing>
          <wp:inline distT="0" distB="0" distL="0" distR="0" wp14:anchorId="605C40C6" wp14:editId="23A5A79B">
            <wp:extent cx="5232400" cy="3054350"/>
            <wp:effectExtent l="0" t="0" r="6350" b="12700"/>
            <wp:docPr id="6" name="Chart 6">
              <a:extLst xmlns:a="http://schemas.openxmlformats.org/drawingml/2006/main">
                <a:ext uri="{FF2B5EF4-FFF2-40B4-BE49-F238E27FC236}">
                  <a16:creationId xmlns:a16="http://schemas.microsoft.com/office/drawing/2014/main" id="{3F3BE096-BDD3-4169-9A7C-226954C6732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47DB2314" w14:textId="59731F13" w:rsidR="007869CD" w:rsidRPr="009C7B1C" w:rsidRDefault="007869CD" w:rsidP="00015D60">
      <w:pPr>
        <w:jc w:val="both"/>
        <w:rPr>
          <w:highlight w:val="yellow"/>
        </w:rPr>
      </w:pPr>
      <w:r w:rsidRPr="0030549E">
        <w:rPr>
          <w:i/>
          <w:iCs/>
        </w:rPr>
        <w:t>Big Earth Data</w:t>
      </w:r>
      <w:r w:rsidRPr="006A6BA4">
        <w:t xml:space="preserve"> was not indexed in Web of Science at the time of the pilot and so had no associated Immediacy Index data.</w:t>
      </w:r>
    </w:p>
    <w:p w14:paraId="33F147EE" w14:textId="2F401439" w:rsidR="009C7B1C" w:rsidRDefault="004A6628" w:rsidP="00015D60">
      <w:pPr>
        <w:jc w:val="both"/>
      </w:pPr>
      <w:r w:rsidRPr="00610F86">
        <w:t>W</w:t>
      </w:r>
      <w:r w:rsidR="005D580B" w:rsidRPr="00610F86">
        <w:t>hist there are a number of influencing factors that contribute to the overall citation activity of journal articles, we felt able to infer a couple of tentative conclusions</w:t>
      </w:r>
      <w:r w:rsidR="00380815">
        <w:t>:</w:t>
      </w:r>
      <w:r w:rsidR="005D580B" w:rsidRPr="00610F86">
        <w:t xml:space="preserve"> </w:t>
      </w:r>
      <w:r w:rsidR="00380815">
        <w:t>1) t</w:t>
      </w:r>
      <w:r w:rsidR="00610F86">
        <w:t xml:space="preserve">he </w:t>
      </w:r>
      <w:r w:rsidR="003628D6">
        <w:t xml:space="preserve">journal which </w:t>
      </w:r>
      <w:r w:rsidR="004872C9">
        <w:t>adhered most strictly to the new data-sharing policy exhibited the most-pronounced positive change in Immediacy Index</w:t>
      </w:r>
      <w:r w:rsidR="00380815">
        <w:t xml:space="preserve">, which may indicate a </w:t>
      </w:r>
      <w:r w:rsidR="002C0D97">
        <w:t>causal relationship between data sharing and article citation</w:t>
      </w:r>
      <w:r w:rsidR="00380815">
        <w:t>.</w:t>
      </w:r>
      <w:r w:rsidR="002C0D97">
        <w:t xml:space="preserve"> 2) All of the journals that participated in the pilot exhibited an increase in their Immediacy Index in 2020, which may indicate that</w:t>
      </w:r>
      <w:r w:rsidR="008179FD">
        <w:t xml:space="preserve"> data sharing at least does not negatively impact the publication of citable articles. We look forward to drawing clearer implications on</w:t>
      </w:r>
      <w:r w:rsidR="0030549E">
        <w:t xml:space="preserve"> the relationship between an open &amp; FAIR data-sharing policy and citation performance as more data become available.</w:t>
      </w:r>
    </w:p>
    <w:p w14:paraId="17835C5E" w14:textId="177441F2" w:rsidR="009A7DE1" w:rsidRDefault="009A7DE1" w:rsidP="009A7DE1">
      <w:pPr>
        <w:pStyle w:val="Heading3"/>
      </w:pPr>
      <w:r>
        <w:t>Feedback from our Editors</w:t>
      </w:r>
    </w:p>
    <w:p w14:paraId="7F817CEF" w14:textId="3FA340DC" w:rsidR="00D32AEC" w:rsidRDefault="00E87D10" w:rsidP="00BE0557">
      <w:pPr>
        <w:jc w:val="both"/>
      </w:pPr>
      <w:r>
        <w:t xml:space="preserve">As part of the </w:t>
      </w:r>
      <w:r w:rsidR="00CD43CA">
        <w:t xml:space="preserve">review of the </w:t>
      </w:r>
      <w:r w:rsidR="00BE0557">
        <w:t>success of</w:t>
      </w:r>
      <w:r w:rsidR="00CD43CA">
        <w:t xml:space="preserve"> </w:t>
      </w:r>
      <w:r w:rsidR="00BE0557">
        <w:t xml:space="preserve">the new open &amp; FAIR </w:t>
      </w:r>
      <w:r w:rsidR="00CD43CA">
        <w:t>data</w:t>
      </w:r>
      <w:r w:rsidR="00BE0557">
        <w:t>-sharing</w:t>
      </w:r>
      <w:r w:rsidR="00CD43CA">
        <w:t xml:space="preserve"> polic</w:t>
      </w:r>
      <w:r w:rsidR="00BE0557">
        <w:t>y,</w:t>
      </w:r>
      <w:r w:rsidR="00CD43CA">
        <w:t xml:space="preserve"> we </w:t>
      </w:r>
      <w:r w:rsidR="00BE0557">
        <w:t>asked the participating journal</w:t>
      </w:r>
      <w:r w:rsidR="00CD43CA">
        <w:t xml:space="preserve"> editors </w:t>
      </w:r>
      <w:r w:rsidR="00BE0557">
        <w:t xml:space="preserve">about their </w:t>
      </w:r>
      <w:r w:rsidR="00D32AEC">
        <w:t xml:space="preserve">experiences </w:t>
      </w:r>
      <w:r w:rsidR="00BE0557">
        <w:t>during the pilot</w:t>
      </w:r>
      <w:r w:rsidR="007F5860">
        <w:t>, as shared below</w:t>
      </w:r>
      <w:r w:rsidR="00815C4D">
        <w:t>:</w:t>
      </w:r>
    </w:p>
    <w:p w14:paraId="257B37F3" w14:textId="49D80696" w:rsidR="009A7DE1" w:rsidRPr="00A90311" w:rsidRDefault="009A7DE1" w:rsidP="009A7DE1">
      <w:pPr>
        <w:jc w:val="both"/>
        <w:rPr>
          <w:b/>
          <w:bCs/>
        </w:rPr>
      </w:pPr>
      <w:r w:rsidRPr="00A90311">
        <w:rPr>
          <w:b/>
          <w:bCs/>
        </w:rPr>
        <w:t>How much additional time would you estimate you spend per submission as a result of implementing this policy?</w:t>
      </w:r>
    </w:p>
    <w:p w14:paraId="031E28CB" w14:textId="77777777" w:rsidR="009A7DE1" w:rsidRPr="00A90311" w:rsidRDefault="009A7DE1" w:rsidP="009A7DE1">
      <w:pPr>
        <w:jc w:val="both"/>
      </w:pPr>
      <w:r w:rsidRPr="00A90311">
        <w:lastRenderedPageBreak/>
        <w:t>“</w:t>
      </w:r>
      <w:r w:rsidRPr="00A90311">
        <w:rPr>
          <w:i/>
          <w:iCs/>
        </w:rPr>
        <w:t>likely 15 minutes more per submission</w:t>
      </w:r>
      <w:r w:rsidRPr="00A90311">
        <w:t xml:space="preserve">” </w:t>
      </w:r>
      <w:r>
        <w:rPr>
          <w:rFonts w:ascii="Calibri" w:eastAsia="Calibri" w:hAnsi="Calibri" w:cs="Calibri"/>
          <w:lang w:val="en-US"/>
        </w:rPr>
        <w:t>–</w:t>
      </w:r>
      <w:r w:rsidRPr="00307526">
        <w:rPr>
          <w:rFonts w:ascii="Calibri" w:eastAsia="Calibri" w:hAnsi="Calibri" w:cs="Calibri"/>
          <w:lang w:val="en-US"/>
        </w:rPr>
        <w:t xml:space="preserve"> May Yuan</w:t>
      </w:r>
      <w:r>
        <w:rPr>
          <w:rFonts w:ascii="Calibri" w:eastAsia="Calibri" w:hAnsi="Calibri" w:cs="Calibri"/>
          <w:lang w:val="en-US"/>
        </w:rPr>
        <w:t>,</w:t>
      </w:r>
      <w:r w:rsidRPr="00307526">
        <w:rPr>
          <w:rFonts w:ascii="Calibri" w:eastAsia="Calibri" w:hAnsi="Calibri" w:cs="Calibri"/>
          <w:lang w:val="en-US"/>
        </w:rPr>
        <w:t xml:space="preserve"> </w:t>
      </w:r>
      <w:r w:rsidRPr="00E914A7">
        <w:rPr>
          <w:rFonts w:ascii="Calibri" w:eastAsia="Calibri" w:hAnsi="Calibri" w:cs="Calibri"/>
          <w:i/>
          <w:iCs/>
          <w:lang w:val="en-US"/>
        </w:rPr>
        <w:t>International Journal of Geographical Information Science</w:t>
      </w:r>
    </w:p>
    <w:p w14:paraId="370F9A1C" w14:textId="79955D31" w:rsidR="009A7DE1" w:rsidRPr="00A90311" w:rsidRDefault="009A7DE1" w:rsidP="009A7DE1">
      <w:pPr>
        <w:jc w:val="both"/>
      </w:pPr>
      <w:r w:rsidRPr="00A90311">
        <w:t>“</w:t>
      </w:r>
      <w:r w:rsidRPr="00A90311">
        <w:rPr>
          <w:i/>
          <w:iCs/>
        </w:rPr>
        <w:t>In the beginning it too</w:t>
      </w:r>
      <w:r w:rsidR="00D664C1">
        <w:rPr>
          <w:i/>
          <w:iCs/>
        </w:rPr>
        <w:t>k</w:t>
      </w:r>
      <w:r w:rsidRPr="00A90311">
        <w:rPr>
          <w:i/>
          <w:iCs/>
        </w:rPr>
        <w:t xml:space="preserve"> an extra round of feedback to make authors comply. They were looking around on the massive T&amp;F web site to find work-arounds and ways to weasel out of restriction. T&amp;F had a lot of conflicting policy guidance. We had to sharpen the stick and corral authors into a clear pathway.</w:t>
      </w:r>
      <w:r w:rsidRPr="00A90311">
        <w:t xml:space="preserve">” </w:t>
      </w:r>
      <w:r>
        <w:rPr>
          <w:rFonts w:ascii="Calibri" w:hAnsi="Calibri" w:cs="Calibri"/>
        </w:rPr>
        <w:t>–</w:t>
      </w:r>
      <w:r w:rsidRPr="00307526">
        <w:rPr>
          <w:rFonts w:ascii="Calibri" w:hAnsi="Calibri" w:cs="Calibri"/>
        </w:rPr>
        <w:t xml:space="preserve"> Nick Chrisman</w:t>
      </w:r>
      <w:r>
        <w:rPr>
          <w:rFonts w:ascii="Calibri" w:hAnsi="Calibri" w:cs="Calibri"/>
        </w:rPr>
        <w:t xml:space="preserve">, </w:t>
      </w:r>
      <w:r w:rsidRPr="00E914A7">
        <w:rPr>
          <w:rFonts w:ascii="Calibri" w:hAnsi="Calibri" w:cs="Calibri"/>
          <w:i/>
          <w:iCs/>
        </w:rPr>
        <w:t>Cartography and Geographic Information Science</w:t>
      </w:r>
    </w:p>
    <w:p w14:paraId="6C97FE03" w14:textId="77777777" w:rsidR="009A7DE1" w:rsidRPr="00A90311" w:rsidRDefault="009A7DE1" w:rsidP="009A7DE1">
      <w:pPr>
        <w:jc w:val="both"/>
        <w:rPr>
          <w:b/>
          <w:bCs/>
        </w:rPr>
      </w:pPr>
      <w:r w:rsidRPr="00A90311">
        <w:rPr>
          <w:b/>
          <w:bCs/>
        </w:rPr>
        <w:t>What feedback have you had from: authors?</w:t>
      </w:r>
    </w:p>
    <w:p w14:paraId="1DF8A1C4" w14:textId="77777777" w:rsidR="009A7DE1" w:rsidRPr="00A90311" w:rsidRDefault="009A7DE1" w:rsidP="009A7DE1">
      <w:pPr>
        <w:jc w:val="both"/>
      </w:pPr>
      <w:r w:rsidRPr="00A90311">
        <w:t>“</w:t>
      </w:r>
      <w:r w:rsidRPr="00A90311">
        <w:rPr>
          <w:i/>
          <w:iCs/>
        </w:rPr>
        <w:t>Some authors resisted to share data and codes but eventually complied. An author withdrew a submission.</w:t>
      </w:r>
      <w:r w:rsidRPr="00A90311">
        <w:t xml:space="preserve">” </w:t>
      </w:r>
      <w:r>
        <w:rPr>
          <w:rFonts w:ascii="Calibri" w:eastAsia="Calibri" w:hAnsi="Calibri" w:cs="Calibri"/>
          <w:lang w:val="en-US"/>
        </w:rPr>
        <w:t>–</w:t>
      </w:r>
      <w:r w:rsidRPr="00307526">
        <w:rPr>
          <w:rFonts w:ascii="Calibri" w:eastAsia="Calibri" w:hAnsi="Calibri" w:cs="Calibri"/>
          <w:lang w:val="en-US"/>
        </w:rPr>
        <w:t xml:space="preserve"> May Yuan</w:t>
      </w:r>
      <w:r>
        <w:rPr>
          <w:rFonts w:ascii="Calibri" w:eastAsia="Calibri" w:hAnsi="Calibri" w:cs="Calibri"/>
          <w:lang w:val="en-US"/>
        </w:rPr>
        <w:t>,</w:t>
      </w:r>
      <w:r w:rsidRPr="00307526">
        <w:rPr>
          <w:rFonts w:ascii="Calibri" w:eastAsia="Calibri" w:hAnsi="Calibri" w:cs="Calibri"/>
          <w:lang w:val="en-US"/>
        </w:rPr>
        <w:t xml:space="preserve"> </w:t>
      </w:r>
      <w:r w:rsidRPr="00E914A7">
        <w:rPr>
          <w:rFonts w:ascii="Calibri" w:eastAsia="Calibri" w:hAnsi="Calibri" w:cs="Calibri"/>
          <w:i/>
          <w:iCs/>
          <w:lang w:val="en-US"/>
        </w:rPr>
        <w:t>International Journal of Geographical Information Science</w:t>
      </w:r>
    </w:p>
    <w:p w14:paraId="6662AC99" w14:textId="77777777" w:rsidR="009A7DE1" w:rsidRPr="00A90311" w:rsidRDefault="009A7DE1" w:rsidP="009A7DE1">
      <w:pPr>
        <w:jc w:val="both"/>
        <w:rPr>
          <w:b/>
          <w:bCs/>
        </w:rPr>
      </w:pPr>
      <w:r w:rsidRPr="00A90311">
        <w:rPr>
          <w:b/>
          <w:bCs/>
        </w:rPr>
        <w:t>What feedback have you had from: reviewers?</w:t>
      </w:r>
    </w:p>
    <w:p w14:paraId="728465F6" w14:textId="77777777" w:rsidR="009A7DE1" w:rsidRPr="00A90311" w:rsidRDefault="009A7DE1" w:rsidP="009A7DE1">
      <w:pPr>
        <w:jc w:val="both"/>
      </w:pPr>
      <w:r w:rsidRPr="00A90311">
        <w:t>“</w:t>
      </w:r>
      <w:r w:rsidRPr="00A90311">
        <w:rPr>
          <w:i/>
          <w:iCs/>
        </w:rPr>
        <w:t>Reviewers appreciated the opportunities to check data and codes.</w:t>
      </w:r>
      <w:r w:rsidRPr="00A90311">
        <w:t xml:space="preserve">” </w:t>
      </w:r>
      <w:r>
        <w:rPr>
          <w:rFonts w:ascii="Calibri" w:eastAsia="Calibri" w:hAnsi="Calibri" w:cs="Calibri"/>
          <w:lang w:val="en-US"/>
        </w:rPr>
        <w:t>–</w:t>
      </w:r>
      <w:r w:rsidRPr="00307526">
        <w:rPr>
          <w:rFonts w:ascii="Calibri" w:eastAsia="Calibri" w:hAnsi="Calibri" w:cs="Calibri"/>
          <w:lang w:val="en-US"/>
        </w:rPr>
        <w:t xml:space="preserve"> May Yuan</w:t>
      </w:r>
      <w:r>
        <w:rPr>
          <w:rFonts w:ascii="Calibri" w:eastAsia="Calibri" w:hAnsi="Calibri" w:cs="Calibri"/>
          <w:lang w:val="en-US"/>
        </w:rPr>
        <w:t>,</w:t>
      </w:r>
      <w:r w:rsidRPr="00307526">
        <w:rPr>
          <w:rFonts w:ascii="Calibri" w:eastAsia="Calibri" w:hAnsi="Calibri" w:cs="Calibri"/>
          <w:lang w:val="en-US"/>
        </w:rPr>
        <w:t xml:space="preserve"> </w:t>
      </w:r>
      <w:r w:rsidRPr="00E914A7">
        <w:rPr>
          <w:rFonts w:ascii="Calibri" w:eastAsia="Calibri" w:hAnsi="Calibri" w:cs="Calibri"/>
          <w:i/>
          <w:iCs/>
          <w:lang w:val="en-US"/>
        </w:rPr>
        <w:t>International Journal of Geographical Information Science</w:t>
      </w:r>
    </w:p>
    <w:p w14:paraId="5C487C49" w14:textId="77777777" w:rsidR="009A7DE1" w:rsidRPr="00A90311" w:rsidRDefault="009A7DE1" w:rsidP="009A7DE1">
      <w:pPr>
        <w:jc w:val="both"/>
        <w:rPr>
          <w:b/>
          <w:bCs/>
        </w:rPr>
      </w:pPr>
      <w:r w:rsidRPr="00A90311">
        <w:rPr>
          <w:b/>
          <w:bCs/>
        </w:rPr>
        <w:t>What feedback have you had from: the wider community?</w:t>
      </w:r>
    </w:p>
    <w:p w14:paraId="63D4E857" w14:textId="77777777" w:rsidR="009A7DE1" w:rsidRPr="00A90311" w:rsidRDefault="009A7DE1" w:rsidP="009A7DE1">
      <w:pPr>
        <w:jc w:val="both"/>
      </w:pPr>
      <w:r w:rsidRPr="00A90311">
        <w:t>“</w:t>
      </w:r>
      <w:r w:rsidRPr="00A90311">
        <w:rPr>
          <w:i/>
          <w:iCs/>
        </w:rPr>
        <w:t>Discussions at conferences were very positive and supportive.</w:t>
      </w:r>
      <w:r w:rsidRPr="00A90311">
        <w:t xml:space="preserve">” </w:t>
      </w:r>
      <w:r>
        <w:rPr>
          <w:rFonts w:ascii="Calibri" w:eastAsia="Calibri" w:hAnsi="Calibri" w:cs="Calibri"/>
          <w:lang w:val="en-US"/>
        </w:rPr>
        <w:t>–</w:t>
      </w:r>
      <w:r w:rsidRPr="00307526">
        <w:rPr>
          <w:rFonts w:ascii="Calibri" w:eastAsia="Calibri" w:hAnsi="Calibri" w:cs="Calibri"/>
          <w:lang w:val="en-US"/>
        </w:rPr>
        <w:t xml:space="preserve"> May Yuan</w:t>
      </w:r>
      <w:r>
        <w:rPr>
          <w:rFonts w:ascii="Calibri" w:eastAsia="Calibri" w:hAnsi="Calibri" w:cs="Calibri"/>
          <w:lang w:val="en-US"/>
        </w:rPr>
        <w:t>,</w:t>
      </w:r>
      <w:r w:rsidRPr="00307526">
        <w:rPr>
          <w:rFonts w:ascii="Calibri" w:eastAsia="Calibri" w:hAnsi="Calibri" w:cs="Calibri"/>
          <w:lang w:val="en-US"/>
        </w:rPr>
        <w:t xml:space="preserve"> </w:t>
      </w:r>
      <w:r w:rsidRPr="00E914A7">
        <w:rPr>
          <w:rFonts w:ascii="Calibri" w:eastAsia="Calibri" w:hAnsi="Calibri" w:cs="Calibri"/>
          <w:i/>
          <w:iCs/>
          <w:lang w:val="en-US"/>
        </w:rPr>
        <w:t>International Journal of Geographical Information Science</w:t>
      </w:r>
    </w:p>
    <w:p w14:paraId="79E23A0D" w14:textId="77777777" w:rsidR="009A7DE1" w:rsidRPr="00A90311" w:rsidRDefault="009A7DE1" w:rsidP="009A7DE1">
      <w:pPr>
        <w:jc w:val="both"/>
      </w:pPr>
      <w:r w:rsidRPr="00A90311">
        <w:t>“</w:t>
      </w:r>
      <w:r w:rsidRPr="00A90311">
        <w:rPr>
          <w:i/>
          <w:iCs/>
        </w:rPr>
        <w:t>No feedback from the journal authors and reviewers. My colleagues think it would be beneficial to researchers.</w:t>
      </w:r>
      <w:r w:rsidRPr="00A90311">
        <w:t xml:space="preserve">” </w:t>
      </w:r>
      <w:r>
        <w:rPr>
          <w:rFonts w:ascii="Calibri" w:eastAsia="Calibri" w:hAnsi="Calibri" w:cs="Calibri"/>
          <w:lang w:val="en-US"/>
        </w:rPr>
        <w:t>–</w:t>
      </w:r>
      <w:r w:rsidRPr="00307526">
        <w:rPr>
          <w:rFonts w:ascii="Calibri" w:eastAsia="Calibri" w:hAnsi="Calibri" w:cs="Calibri"/>
          <w:lang w:val="en-US"/>
        </w:rPr>
        <w:t xml:space="preserve"> Jungho Im</w:t>
      </w:r>
      <w:r>
        <w:rPr>
          <w:rFonts w:ascii="Calibri" w:eastAsia="Calibri" w:hAnsi="Calibri" w:cs="Calibri"/>
          <w:lang w:val="en-US"/>
        </w:rPr>
        <w:t>,</w:t>
      </w:r>
      <w:r w:rsidRPr="00307526">
        <w:rPr>
          <w:rFonts w:ascii="Calibri" w:eastAsia="Calibri" w:hAnsi="Calibri" w:cs="Calibri"/>
          <w:lang w:val="en-US"/>
        </w:rPr>
        <w:t xml:space="preserve"> </w:t>
      </w:r>
      <w:r w:rsidRPr="00E914A7">
        <w:rPr>
          <w:rFonts w:ascii="Calibri" w:eastAsia="Calibri" w:hAnsi="Calibri" w:cs="Calibri"/>
          <w:i/>
          <w:iCs/>
          <w:lang w:val="en-US"/>
        </w:rPr>
        <w:t>GIScience &amp; Remote Sensing</w:t>
      </w:r>
    </w:p>
    <w:p w14:paraId="76DA0CDD" w14:textId="77777777" w:rsidR="009A7DE1" w:rsidRPr="00A90311" w:rsidRDefault="009A7DE1" w:rsidP="009A7DE1">
      <w:pPr>
        <w:jc w:val="both"/>
      </w:pPr>
      <w:r w:rsidRPr="00A90311">
        <w:t>“</w:t>
      </w:r>
      <w:r w:rsidRPr="00A90311">
        <w:rPr>
          <w:i/>
          <w:iCs/>
        </w:rPr>
        <w:t>I think most researchers will support open data policy especially large publishers and high-impact journals request them to do so. It will pave a new way for research collaboration.</w:t>
      </w:r>
      <w:r w:rsidRPr="00A90311">
        <w:t xml:space="preserve">” </w:t>
      </w:r>
      <w:r>
        <w:rPr>
          <w:rFonts w:ascii="Calibri" w:hAnsi="Calibri" w:cs="Calibri"/>
        </w:rPr>
        <w:t>–</w:t>
      </w:r>
      <w:r w:rsidRPr="00307526">
        <w:rPr>
          <w:rFonts w:ascii="Calibri" w:hAnsi="Calibri" w:cs="Calibri"/>
        </w:rPr>
        <w:t xml:space="preserve"> Linlin Guan</w:t>
      </w:r>
      <w:r>
        <w:rPr>
          <w:rFonts w:ascii="Calibri" w:hAnsi="Calibri" w:cs="Calibri"/>
        </w:rPr>
        <w:t>,</w:t>
      </w:r>
      <w:r w:rsidRPr="00307526">
        <w:rPr>
          <w:rFonts w:ascii="Calibri" w:hAnsi="Calibri" w:cs="Calibri"/>
        </w:rPr>
        <w:t xml:space="preserve"> </w:t>
      </w:r>
      <w:r w:rsidRPr="00E914A7">
        <w:rPr>
          <w:rFonts w:ascii="Calibri" w:hAnsi="Calibri" w:cs="Calibri"/>
          <w:i/>
          <w:iCs/>
        </w:rPr>
        <w:t>Big Earth Data</w:t>
      </w:r>
    </w:p>
    <w:p w14:paraId="262C7C23" w14:textId="77777777" w:rsidR="009A7DE1" w:rsidRPr="00A90311" w:rsidRDefault="009A7DE1" w:rsidP="009A7DE1">
      <w:pPr>
        <w:jc w:val="both"/>
      </w:pPr>
      <w:r w:rsidRPr="00A90311">
        <w:t>“</w:t>
      </w:r>
      <w:r w:rsidRPr="00A90311">
        <w:rPr>
          <w:i/>
          <w:iCs/>
        </w:rPr>
        <w:t>Not a lot yet, many authors seem happy to provide software and data on repositories. Reviewers used to deal with supplementals, but now the arcane rules of the repositories make it harder for them to see the future open data, due to the shields for anonymity. We have a long way to go to make this smooth. Authors have no real incentive to anonymize their data, software and web services for review.</w:t>
      </w:r>
      <w:r w:rsidRPr="00A90311">
        <w:t xml:space="preserve">” </w:t>
      </w:r>
      <w:r>
        <w:rPr>
          <w:rFonts w:ascii="Calibri" w:hAnsi="Calibri" w:cs="Calibri"/>
        </w:rPr>
        <w:t>–</w:t>
      </w:r>
      <w:r w:rsidRPr="00307526">
        <w:rPr>
          <w:rFonts w:ascii="Calibri" w:hAnsi="Calibri" w:cs="Calibri"/>
        </w:rPr>
        <w:t xml:space="preserve"> Nick Chrisman</w:t>
      </w:r>
      <w:r>
        <w:rPr>
          <w:rFonts w:ascii="Calibri" w:hAnsi="Calibri" w:cs="Calibri"/>
        </w:rPr>
        <w:t xml:space="preserve">, </w:t>
      </w:r>
      <w:r w:rsidRPr="00E914A7">
        <w:rPr>
          <w:rFonts w:ascii="Calibri" w:hAnsi="Calibri" w:cs="Calibri"/>
          <w:i/>
          <w:iCs/>
        </w:rPr>
        <w:t>Cartography and Geographic Information Science</w:t>
      </w:r>
    </w:p>
    <w:p w14:paraId="13A31C51" w14:textId="77777777" w:rsidR="009A7DE1" w:rsidRPr="00A90311" w:rsidRDefault="009A7DE1" w:rsidP="009A7DE1">
      <w:pPr>
        <w:jc w:val="both"/>
        <w:rPr>
          <w:b/>
          <w:bCs/>
        </w:rPr>
      </w:pPr>
      <w:r w:rsidRPr="00A90311">
        <w:rPr>
          <w:b/>
          <w:bCs/>
        </w:rPr>
        <w:t>Do you think it has been worth it</w:t>
      </w:r>
      <w:r>
        <w:rPr>
          <w:b/>
          <w:bCs/>
        </w:rPr>
        <w:t>:</w:t>
      </w:r>
      <w:r w:rsidRPr="00A90311">
        <w:rPr>
          <w:b/>
          <w:bCs/>
        </w:rPr>
        <w:t xml:space="preserve"> </w:t>
      </w:r>
      <w:r>
        <w:rPr>
          <w:b/>
          <w:bCs/>
        </w:rPr>
        <w:t>f</w:t>
      </w:r>
      <w:r w:rsidRPr="00A90311">
        <w:rPr>
          <w:b/>
          <w:bCs/>
        </w:rPr>
        <w:t>or the journal</w:t>
      </w:r>
      <w:r>
        <w:rPr>
          <w:b/>
          <w:bCs/>
        </w:rPr>
        <w:t>?</w:t>
      </w:r>
      <w:r w:rsidRPr="00A90311">
        <w:rPr>
          <w:b/>
          <w:bCs/>
        </w:rPr>
        <w:t xml:space="preserve"> (thinking about effect on submissions, etc.)</w:t>
      </w:r>
    </w:p>
    <w:p w14:paraId="7381FB7B" w14:textId="240985D9" w:rsidR="009A7DE1" w:rsidRPr="00A90311" w:rsidRDefault="009A7DE1" w:rsidP="009A7DE1">
      <w:pPr>
        <w:jc w:val="both"/>
      </w:pPr>
      <w:r w:rsidRPr="00A90311">
        <w:t>“</w:t>
      </w:r>
      <w:r w:rsidRPr="00A90311">
        <w:rPr>
          <w:i/>
          <w:iCs/>
        </w:rPr>
        <w:t>There is no sign of negative effects on submissions to the journal.  We have had one withdrawal out of almost one thousand submissions (new and revised) since implementing the policy.</w:t>
      </w:r>
      <w:r w:rsidRPr="00A90311">
        <w:t xml:space="preserve">” </w:t>
      </w:r>
      <w:r>
        <w:rPr>
          <w:rFonts w:ascii="Calibri" w:eastAsia="Calibri" w:hAnsi="Calibri" w:cs="Calibri"/>
          <w:lang w:val="en-US"/>
        </w:rPr>
        <w:t>–</w:t>
      </w:r>
      <w:r w:rsidRPr="00307526">
        <w:rPr>
          <w:rFonts w:ascii="Calibri" w:eastAsia="Calibri" w:hAnsi="Calibri" w:cs="Calibri"/>
          <w:lang w:val="en-US"/>
        </w:rPr>
        <w:t xml:space="preserve"> May Yuan</w:t>
      </w:r>
      <w:r>
        <w:rPr>
          <w:rFonts w:ascii="Calibri" w:eastAsia="Calibri" w:hAnsi="Calibri" w:cs="Calibri"/>
          <w:lang w:val="en-US"/>
        </w:rPr>
        <w:t>,</w:t>
      </w:r>
      <w:r w:rsidRPr="00307526">
        <w:rPr>
          <w:rFonts w:ascii="Calibri" w:eastAsia="Calibri" w:hAnsi="Calibri" w:cs="Calibri"/>
          <w:lang w:val="en-US"/>
        </w:rPr>
        <w:t xml:space="preserve"> </w:t>
      </w:r>
      <w:r w:rsidRPr="00E914A7">
        <w:rPr>
          <w:rFonts w:ascii="Calibri" w:eastAsia="Calibri" w:hAnsi="Calibri" w:cs="Calibri"/>
          <w:i/>
          <w:iCs/>
          <w:lang w:val="en-US"/>
        </w:rPr>
        <w:t>International Journal of Geographical Information Science</w:t>
      </w:r>
    </w:p>
    <w:p w14:paraId="0B2B6C26" w14:textId="70AFC065" w:rsidR="009A7DE1" w:rsidRPr="00A90311" w:rsidRDefault="009A7DE1" w:rsidP="009A7DE1">
      <w:pPr>
        <w:jc w:val="both"/>
      </w:pPr>
      <w:r w:rsidRPr="00A90311">
        <w:t>“</w:t>
      </w:r>
      <w:r w:rsidRPr="00621E48">
        <w:rPr>
          <w:i/>
          <w:iCs/>
        </w:rPr>
        <w:t>We have begun to attract submissions with 'standard' datasets. Perhaps this came from the push toward open data.</w:t>
      </w:r>
      <w:r w:rsidRPr="00A90311">
        <w:t xml:space="preserve">” </w:t>
      </w:r>
      <w:r>
        <w:rPr>
          <w:rFonts w:ascii="Calibri" w:hAnsi="Calibri" w:cs="Calibri"/>
        </w:rPr>
        <w:t>–</w:t>
      </w:r>
      <w:r w:rsidRPr="00307526">
        <w:rPr>
          <w:rFonts w:ascii="Calibri" w:hAnsi="Calibri" w:cs="Calibri"/>
        </w:rPr>
        <w:t xml:space="preserve"> Nick Chrisman</w:t>
      </w:r>
      <w:r>
        <w:rPr>
          <w:rFonts w:ascii="Calibri" w:hAnsi="Calibri" w:cs="Calibri"/>
        </w:rPr>
        <w:t xml:space="preserve">, </w:t>
      </w:r>
      <w:r w:rsidRPr="00E914A7">
        <w:rPr>
          <w:rFonts w:ascii="Calibri" w:hAnsi="Calibri" w:cs="Calibri"/>
          <w:i/>
          <w:iCs/>
        </w:rPr>
        <w:t>Cartography and Geographic Information Science</w:t>
      </w:r>
    </w:p>
    <w:p w14:paraId="1BE09DE9" w14:textId="77777777" w:rsidR="009A7DE1" w:rsidRPr="00A90311" w:rsidRDefault="009A7DE1" w:rsidP="009A7DE1">
      <w:pPr>
        <w:jc w:val="both"/>
        <w:rPr>
          <w:b/>
          <w:bCs/>
        </w:rPr>
      </w:pPr>
      <w:r w:rsidRPr="00A90311">
        <w:rPr>
          <w:b/>
          <w:bCs/>
        </w:rPr>
        <w:t>Do you think it has been worth it: for the research community? (to see the journal take a lead on this)</w:t>
      </w:r>
    </w:p>
    <w:p w14:paraId="1316BEA7" w14:textId="77777777" w:rsidR="009A7DE1" w:rsidRPr="00A90311" w:rsidRDefault="009A7DE1" w:rsidP="009A7DE1">
      <w:pPr>
        <w:jc w:val="both"/>
      </w:pPr>
      <w:r w:rsidRPr="00A90311">
        <w:t>“</w:t>
      </w:r>
      <w:r w:rsidRPr="00621E48">
        <w:rPr>
          <w:i/>
          <w:iCs/>
        </w:rPr>
        <w:t>Discussions at conferences were very positive. While I don’t have the statistics to support my perceived increase in the views to papers at our journal website.</w:t>
      </w:r>
      <w:r w:rsidRPr="00A90311">
        <w:t xml:space="preserve">” </w:t>
      </w:r>
      <w:r>
        <w:rPr>
          <w:rFonts w:ascii="Calibri" w:eastAsia="Calibri" w:hAnsi="Calibri" w:cs="Calibri"/>
          <w:lang w:val="en-US"/>
        </w:rPr>
        <w:t>–</w:t>
      </w:r>
      <w:r w:rsidRPr="00307526">
        <w:rPr>
          <w:rFonts w:ascii="Calibri" w:eastAsia="Calibri" w:hAnsi="Calibri" w:cs="Calibri"/>
          <w:lang w:val="en-US"/>
        </w:rPr>
        <w:t xml:space="preserve"> May Yuan</w:t>
      </w:r>
      <w:r>
        <w:rPr>
          <w:rFonts w:ascii="Calibri" w:eastAsia="Calibri" w:hAnsi="Calibri" w:cs="Calibri"/>
          <w:lang w:val="en-US"/>
        </w:rPr>
        <w:t>,</w:t>
      </w:r>
      <w:r w:rsidRPr="00307526">
        <w:rPr>
          <w:rFonts w:ascii="Calibri" w:eastAsia="Calibri" w:hAnsi="Calibri" w:cs="Calibri"/>
          <w:lang w:val="en-US"/>
        </w:rPr>
        <w:t xml:space="preserve"> </w:t>
      </w:r>
      <w:r w:rsidRPr="00E914A7">
        <w:rPr>
          <w:rFonts w:ascii="Calibri" w:eastAsia="Calibri" w:hAnsi="Calibri" w:cs="Calibri"/>
          <w:i/>
          <w:iCs/>
          <w:lang w:val="en-US"/>
        </w:rPr>
        <w:t>International Journal of Geographical Information Science</w:t>
      </w:r>
    </w:p>
    <w:p w14:paraId="6A9CB953" w14:textId="77777777" w:rsidR="009A7DE1" w:rsidRPr="00A90311" w:rsidRDefault="009A7DE1" w:rsidP="009A7DE1">
      <w:pPr>
        <w:jc w:val="both"/>
        <w:rPr>
          <w:b/>
          <w:bCs/>
        </w:rPr>
      </w:pPr>
      <w:r w:rsidRPr="00A90311">
        <w:rPr>
          <w:b/>
          <w:bCs/>
        </w:rPr>
        <w:t>Do you think it has been worth it: personally? (has the extra effort been worth it to you?)</w:t>
      </w:r>
    </w:p>
    <w:p w14:paraId="197E88E2" w14:textId="77777777" w:rsidR="009A7DE1" w:rsidRPr="00A90311" w:rsidRDefault="009A7DE1" w:rsidP="009A7DE1">
      <w:pPr>
        <w:jc w:val="both"/>
      </w:pPr>
      <w:r w:rsidRPr="00A90311">
        <w:t>“</w:t>
      </w:r>
      <w:r w:rsidRPr="00621E48">
        <w:rPr>
          <w:i/>
          <w:iCs/>
        </w:rPr>
        <w:t>absolutely</w:t>
      </w:r>
      <w:r w:rsidRPr="00A90311">
        <w:t xml:space="preserve">” </w:t>
      </w:r>
      <w:r>
        <w:rPr>
          <w:rFonts w:ascii="Calibri" w:eastAsia="Calibri" w:hAnsi="Calibri" w:cs="Calibri"/>
          <w:lang w:val="en-US"/>
        </w:rPr>
        <w:t>–</w:t>
      </w:r>
      <w:r w:rsidRPr="00307526">
        <w:rPr>
          <w:rFonts w:ascii="Calibri" w:eastAsia="Calibri" w:hAnsi="Calibri" w:cs="Calibri"/>
          <w:lang w:val="en-US"/>
        </w:rPr>
        <w:t xml:space="preserve"> May Yuan</w:t>
      </w:r>
      <w:r>
        <w:rPr>
          <w:rFonts w:ascii="Calibri" w:eastAsia="Calibri" w:hAnsi="Calibri" w:cs="Calibri"/>
          <w:lang w:val="en-US"/>
        </w:rPr>
        <w:t>,</w:t>
      </w:r>
      <w:r w:rsidRPr="00307526">
        <w:rPr>
          <w:rFonts w:ascii="Calibri" w:eastAsia="Calibri" w:hAnsi="Calibri" w:cs="Calibri"/>
          <w:lang w:val="en-US"/>
        </w:rPr>
        <w:t xml:space="preserve"> </w:t>
      </w:r>
      <w:r w:rsidRPr="00E914A7">
        <w:rPr>
          <w:rFonts w:ascii="Calibri" w:eastAsia="Calibri" w:hAnsi="Calibri" w:cs="Calibri"/>
          <w:i/>
          <w:iCs/>
          <w:lang w:val="en-US"/>
        </w:rPr>
        <w:t>International Journal of Geographical Information Science</w:t>
      </w:r>
    </w:p>
    <w:p w14:paraId="265616E0" w14:textId="77777777" w:rsidR="009A7DE1" w:rsidRPr="00A90311" w:rsidRDefault="009A7DE1" w:rsidP="009A7DE1">
      <w:pPr>
        <w:jc w:val="both"/>
      </w:pPr>
      <w:r w:rsidRPr="00A90311">
        <w:lastRenderedPageBreak/>
        <w:t>“</w:t>
      </w:r>
      <w:r w:rsidRPr="00621E48">
        <w:rPr>
          <w:i/>
          <w:iCs/>
        </w:rPr>
        <w:t>Maybe. It keeps the journal on cutting edge. My workload is infinite anyway.</w:t>
      </w:r>
      <w:r w:rsidRPr="00A90311">
        <w:t xml:space="preserve">” </w:t>
      </w:r>
      <w:r>
        <w:rPr>
          <w:rFonts w:ascii="Calibri" w:hAnsi="Calibri" w:cs="Calibri"/>
        </w:rPr>
        <w:t>–</w:t>
      </w:r>
      <w:r w:rsidRPr="00307526">
        <w:rPr>
          <w:rFonts w:ascii="Calibri" w:hAnsi="Calibri" w:cs="Calibri"/>
        </w:rPr>
        <w:t xml:space="preserve"> Nick Chrisman</w:t>
      </w:r>
      <w:r>
        <w:rPr>
          <w:rFonts w:ascii="Calibri" w:hAnsi="Calibri" w:cs="Calibri"/>
        </w:rPr>
        <w:t xml:space="preserve">, </w:t>
      </w:r>
      <w:r w:rsidRPr="00E914A7">
        <w:rPr>
          <w:rFonts w:ascii="Calibri" w:hAnsi="Calibri" w:cs="Calibri"/>
          <w:i/>
          <w:iCs/>
        </w:rPr>
        <w:t>Cartography and Geographic Information Science</w:t>
      </w:r>
    </w:p>
    <w:p w14:paraId="4FB861DF" w14:textId="77777777" w:rsidR="009A7DE1" w:rsidRPr="00A90311" w:rsidRDefault="009A7DE1" w:rsidP="009A7DE1">
      <w:pPr>
        <w:jc w:val="both"/>
      </w:pPr>
      <w:r w:rsidRPr="00A90311">
        <w:t>“</w:t>
      </w:r>
      <w:r w:rsidRPr="00621E48">
        <w:rPr>
          <w:i/>
          <w:iCs/>
        </w:rPr>
        <w:t>I believe data and code sharing is good and very effective to facilitate research activities and often improves the reproducibility and transferability of research.</w:t>
      </w:r>
      <w:r w:rsidRPr="00A90311">
        <w:t xml:space="preserve">” </w:t>
      </w:r>
      <w:r>
        <w:rPr>
          <w:rFonts w:ascii="Calibri" w:eastAsia="Calibri" w:hAnsi="Calibri" w:cs="Calibri"/>
          <w:lang w:val="en-US"/>
        </w:rPr>
        <w:t>–</w:t>
      </w:r>
      <w:r w:rsidRPr="00307526">
        <w:rPr>
          <w:rFonts w:ascii="Calibri" w:eastAsia="Calibri" w:hAnsi="Calibri" w:cs="Calibri"/>
          <w:lang w:val="en-US"/>
        </w:rPr>
        <w:t xml:space="preserve"> Jungho Im</w:t>
      </w:r>
      <w:r>
        <w:rPr>
          <w:rFonts w:ascii="Calibri" w:eastAsia="Calibri" w:hAnsi="Calibri" w:cs="Calibri"/>
          <w:lang w:val="en-US"/>
        </w:rPr>
        <w:t>,</w:t>
      </w:r>
      <w:r w:rsidRPr="00307526">
        <w:rPr>
          <w:rFonts w:ascii="Calibri" w:eastAsia="Calibri" w:hAnsi="Calibri" w:cs="Calibri"/>
          <w:lang w:val="en-US"/>
        </w:rPr>
        <w:t xml:space="preserve"> </w:t>
      </w:r>
      <w:r w:rsidRPr="00E914A7">
        <w:rPr>
          <w:rFonts w:ascii="Calibri" w:eastAsia="Calibri" w:hAnsi="Calibri" w:cs="Calibri"/>
          <w:i/>
          <w:iCs/>
          <w:lang w:val="en-US"/>
        </w:rPr>
        <w:t>GIScience &amp; Remote Sensing</w:t>
      </w:r>
    </w:p>
    <w:p w14:paraId="6F8F8153" w14:textId="77777777" w:rsidR="009A7DE1" w:rsidRPr="00A90311" w:rsidRDefault="009A7DE1" w:rsidP="009A7DE1">
      <w:pPr>
        <w:jc w:val="both"/>
        <w:rPr>
          <w:b/>
          <w:bCs/>
        </w:rPr>
      </w:pPr>
      <w:r w:rsidRPr="00A90311">
        <w:rPr>
          <w:b/>
          <w:bCs/>
        </w:rPr>
        <w:t>How has implementing the policy compared with your expectations?</w:t>
      </w:r>
    </w:p>
    <w:p w14:paraId="6F613AC5" w14:textId="2D11EEF9" w:rsidR="009A7DE1" w:rsidRPr="00A90311" w:rsidRDefault="009A7DE1" w:rsidP="009A7DE1">
      <w:pPr>
        <w:jc w:val="both"/>
      </w:pPr>
      <w:r w:rsidRPr="00A90311">
        <w:t>“</w:t>
      </w:r>
      <w:r w:rsidRPr="00621E48">
        <w:rPr>
          <w:i/>
          <w:iCs/>
        </w:rPr>
        <w:t>Very well. Although we should continue to observe the effect of participating for a longer time to see if it has an influence on citations or other metrics.</w:t>
      </w:r>
      <w:r w:rsidRPr="00A90311">
        <w:t>”</w:t>
      </w:r>
      <w:r w:rsidRPr="00307526">
        <w:rPr>
          <w:rFonts w:ascii="Calibri" w:hAnsi="Calibri" w:cs="Calibri"/>
        </w:rPr>
        <w:t xml:space="preserve"> </w:t>
      </w:r>
      <w:r>
        <w:rPr>
          <w:rFonts w:ascii="Calibri" w:hAnsi="Calibri" w:cs="Calibri"/>
        </w:rPr>
        <w:t>–</w:t>
      </w:r>
      <w:r w:rsidRPr="00307526">
        <w:rPr>
          <w:rFonts w:ascii="Calibri" w:hAnsi="Calibri" w:cs="Calibri"/>
        </w:rPr>
        <w:t xml:space="preserve"> Linlin Guan</w:t>
      </w:r>
      <w:r>
        <w:rPr>
          <w:rFonts w:ascii="Calibri" w:hAnsi="Calibri" w:cs="Calibri"/>
        </w:rPr>
        <w:t>,</w:t>
      </w:r>
      <w:r w:rsidRPr="00307526">
        <w:rPr>
          <w:rFonts w:ascii="Calibri" w:hAnsi="Calibri" w:cs="Calibri"/>
        </w:rPr>
        <w:t xml:space="preserve"> </w:t>
      </w:r>
      <w:r w:rsidRPr="00E914A7">
        <w:rPr>
          <w:rFonts w:ascii="Calibri" w:hAnsi="Calibri" w:cs="Calibri"/>
          <w:i/>
          <w:iCs/>
        </w:rPr>
        <w:t>Big Earth Data</w:t>
      </w:r>
      <w:r w:rsidR="00C4071B">
        <w:rPr>
          <w:rFonts w:ascii="Calibri" w:hAnsi="Calibri" w:cs="Calibri"/>
          <w:i/>
          <w:iCs/>
        </w:rPr>
        <w:t>.</w:t>
      </w:r>
    </w:p>
    <w:p w14:paraId="00188DE2" w14:textId="4B97D029" w:rsidR="009A7DE1" w:rsidRPr="00A90311" w:rsidRDefault="009A7DE1" w:rsidP="009A7DE1">
      <w:pPr>
        <w:jc w:val="both"/>
      </w:pPr>
      <w:r w:rsidRPr="00A90311">
        <w:t>“</w:t>
      </w:r>
      <w:r w:rsidRPr="00621E48">
        <w:rPr>
          <w:i/>
          <w:iCs/>
        </w:rPr>
        <w:t xml:space="preserve">It </w:t>
      </w:r>
      <w:r w:rsidR="00E865C1">
        <w:rPr>
          <w:i/>
          <w:iCs/>
        </w:rPr>
        <w:t>t</w:t>
      </w:r>
      <w:r w:rsidRPr="00621E48">
        <w:rPr>
          <w:i/>
          <w:iCs/>
        </w:rPr>
        <w:t>ook a lot more working out than expected. Now it is going a lot smoother. The Peer Review service is helping a lot in enforcing the rules, now that we have clarified them.</w:t>
      </w:r>
      <w:r w:rsidRPr="00A90311">
        <w:t xml:space="preserve">” </w:t>
      </w:r>
      <w:r>
        <w:rPr>
          <w:rFonts w:ascii="Calibri" w:hAnsi="Calibri" w:cs="Calibri"/>
        </w:rPr>
        <w:t>–</w:t>
      </w:r>
      <w:r w:rsidRPr="00307526">
        <w:rPr>
          <w:rFonts w:ascii="Calibri" w:hAnsi="Calibri" w:cs="Calibri"/>
        </w:rPr>
        <w:t xml:space="preserve"> Nick Chrisman</w:t>
      </w:r>
      <w:r>
        <w:rPr>
          <w:rFonts w:ascii="Calibri" w:hAnsi="Calibri" w:cs="Calibri"/>
        </w:rPr>
        <w:t xml:space="preserve">, </w:t>
      </w:r>
      <w:r w:rsidRPr="00E914A7">
        <w:rPr>
          <w:rFonts w:ascii="Calibri" w:hAnsi="Calibri" w:cs="Calibri"/>
          <w:i/>
          <w:iCs/>
        </w:rPr>
        <w:t>Cartography and Geographic Information Science</w:t>
      </w:r>
    </w:p>
    <w:p w14:paraId="4907C362" w14:textId="77777777" w:rsidR="009A7DE1" w:rsidRPr="00A90311" w:rsidRDefault="009A7DE1" w:rsidP="009A7DE1">
      <w:pPr>
        <w:jc w:val="both"/>
      </w:pPr>
      <w:r w:rsidRPr="00A90311">
        <w:t>“</w:t>
      </w:r>
      <w:r w:rsidRPr="00621E48">
        <w:rPr>
          <w:i/>
          <w:iCs/>
        </w:rPr>
        <w:t>The public repositories, like Code Ocean and FigShare, ease the implementation significantly.</w:t>
      </w:r>
      <w:r w:rsidRPr="00A90311">
        <w:t xml:space="preserve">” </w:t>
      </w:r>
      <w:r>
        <w:rPr>
          <w:rFonts w:ascii="Calibri" w:eastAsia="Calibri" w:hAnsi="Calibri" w:cs="Calibri"/>
          <w:lang w:val="en-US"/>
        </w:rPr>
        <w:t>–</w:t>
      </w:r>
      <w:r w:rsidRPr="00307526">
        <w:rPr>
          <w:rFonts w:ascii="Calibri" w:eastAsia="Calibri" w:hAnsi="Calibri" w:cs="Calibri"/>
          <w:lang w:val="en-US"/>
        </w:rPr>
        <w:t xml:space="preserve"> May Yuan</w:t>
      </w:r>
      <w:r>
        <w:rPr>
          <w:rFonts w:ascii="Calibri" w:eastAsia="Calibri" w:hAnsi="Calibri" w:cs="Calibri"/>
          <w:lang w:val="en-US"/>
        </w:rPr>
        <w:t>,</w:t>
      </w:r>
      <w:r w:rsidRPr="00307526">
        <w:rPr>
          <w:rFonts w:ascii="Calibri" w:eastAsia="Calibri" w:hAnsi="Calibri" w:cs="Calibri"/>
          <w:lang w:val="en-US"/>
        </w:rPr>
        <w:t xml:space="preserve"> </w:t>
      </w:r>
      <w:r w:rsidRPr="00E914A7">
        <w:rPr>
          <w:rFonts w:ascii="Calibri" w:eastAsia="Calibri" w:hAnsi="Calibri" w:cs="Calibri"/>
          <w:i/>
          <w:iCs/>
          <w:lang w:val="en-US"/>
        </w:rPr>
        <w:t>International Journal of Geographical Information Science</w:t>
      </w:r>
    </w:p>
    <w:p w14:paraId="49DF6DDB" w14:textId="77777777" w:rsidR="009A7DE1" w:rsidRPr="00A90311" w:rsidRDefault="009A7DE1" w:rsidP="009A7DE1">
      <w:pPr>
        <w:jc w:val="both"/>
        <w:rPr>
          <w:b/>
          <w:bCs/>
        </w:rPr>
      </w:pPr>
      <w:r w:rsidRPr="00A90311">
        <w:rPr>
          <w:b/>
          <w:bCs/>
        </w:rPr>
        <w:t>Is there anything you wish you’d had known or anything you still need to support you implementing this policy?</w:t>
      </w:r>
    </w:p>
    <w:p w14:paraId="1B863736" w14:textId="77777777" w:rsidR="009A7DE1" w:rsidRPr="00A90311" w:rsidRDefault="009A7DE1" w:rsidP="009A7DE1">
      <w:pPr>
        <w:jc w:val="both"/>
      </w:pPr>
      <w:r w:rsidRPr="00A90311">
        <w:t>“</w:t>
      </w:r>
      <w:r w:rsidRPr="00621E48">
        <w:rPr>
          <w:i/>
          <w:iCs/>
        </w:rPr>
        <w:t>We now have the workflow in place for implementation. The most time-consuming task is to check anonymity in codes and data.</w:t>
      </w:r>
      <w:r w:rsidRPr="00A90311">
        <w:t xml:space="preserve">” </w:t>
      </w:r>
      <w:r>
        <w:rPr>
          <w:rFonts w:ascii="Calibri" w:eastAsia="Calibri" w:hAnsi="Calibri" w:cs="Calibri"/>
          <w:lang w:val="en-US"/>
        </w:rPr>
        <w:t>–</w:t>
      </w:r>
      <w:r w:rsidRPr="00307526">
        <w:rPr>
          <w:rFonts w:ascii="Calibri" w:eastAsia="Calibri" w:hAnsi="Calibri" w:cs="Calibri"/>
          <w:lang w:val="en-US"/>
        </w:rPr>
        <w:t xml:space="preserve"> May Yuan</w:t>
      </w:r>
      <w:r>
        <w:rPr>
          <w:rFonts w:ascii="Calibri" w:eastAsia="Calibri" w:hAnsi="Calibri" w:cs="Calibri"/>
          <w:lang w:val="en-US"/>
        </w:rPr>
        <w:t>,</w:t>
      </w:r>
      <w:r w:rsidRPr="00307526">
        <w:rPr>
          <w:rFonts w:ascii="Calibri" w:eastAsia="Calibri" w:hAnsi="Calibri" w:cs="Calibri"/>
          <w:lang w:val="en-US"/>
        </w:rPr>
        <w:t xml:space="preserve"> </w:t>
      </w:r>
      <w:r w:rsidRPr="00E914A7">
        <w:rPr>
          <w:rFonts w:ascii="Calibri" w:eastAsia="Calibri" w:hAnsi="Calibri" w:cs="Calibri"/>
          <w:i/>
          <w:iCs/>
          <w:lang w:val="en-US"/>
        </w:rPr>
        <w:t>International Journal of Geographical Information Science</w:t>
      </w:r>
    </w:p>
    <w:p w14:paraId="0700E57E" w14:textId="77777777" w:rsidR="009A7DE1" w:rsidRPr="00A90311" w:rsidRDefault="009A7DE1" w:rsidP="009A7DE1">
      <w:pPr>
        <w:jc w:val="both"/>
      </w:pPr>
      <w:r w:rsidRPr="00A90311">
        <w:t>“</w:t>
      </w:r>
      <w:r w:rsidRPr="00621E48">
        <w:rPr>
          <w:i/>
          <w:iCs/>
        </w:rPr>
        <w:t>T&amp;F had to take responsibility for the mixed message buried all around their web site. That took some time. I had to learn a lot about repositories. The model was that some kind of discipline-based model would emerge. I see no sign of that (yet). I suspect this early period is a lot like PURL. It will not work and be replaced by something else (eventually). There is a lot of learning still to do.</w:t>
      </w:r>
      <w:r w:rsidRPr="00A90311">
        <w:t xml:space="preserve">” </w:t>
      </w:r>
      <w:r>
        <w:rPr>
          <w:rFonts w:ascii="Calibri" w:hAnsi="Calibri" w:cs="Calibri"/>
        </w:rPr>
        <w:t>–</w:t>
      </w:r>
      <w:r w:rsidRPr="00307526">
        <w:rPr>
          <w:rFonts w:ascii="Calibri" w:hAnsi="Calibri" w:cs="Calibri"/>
        </w:rPr>
        <w:t xml:space="preserve"> Nick Chrisman</w:t>
      </w:r>
      <w:r>
        <w:rPr>
          <w:rFonts w:ascii="Calibri" w:hAnsi="Calibri" w:cs="Calibri"/>
        </w:rPr>
        <w:t xml:space="preserve">, </w:t>
      </w:r>
      <w:r w:rsidRPr="00E914A7">
        <w:rPr>
          <w:rFonts w:ascii="Calibri" w:hAnsi="Calibri" w:cs="Calibri"/>
          <w:i/>
          <w:iCs/>
        </w:rPr>
        <w:t>Cartography and Geographic Information Science</w:t>
      </w:r>
    </w:p>
    <w:p w14:paraId="4870C234" w14:textId="77777777" w:rsidR="009A7DE1" w:rsidRPr="00A90311" w:rsidRDefault="009A7DE1" w:rsidP="009A7DE1">
      <w:pPr>
        <w:jc w:val="both"/>
      </w:pPr>
      <w:r w:rsidRPr="00A90311">
        <w:t>“</w:t>
      </w:r>
      <w:r w:rsidRPr="00621E48">
        <w:rPr>
          <w:i/>
          <w:iCs/>
        </w:rPr>
        <w:t>It would be also good to have a survey to the authors of the accepted papers and get some feedback about the open data policy. That would help a lot.</w:t>
      </w:r>
      <w:r w:rsidRPr="00A90311">
        <w:t xml:space="preserve">” </w:t>
      </w:r>
      <w:r>
        <w:rPr>
          <w:rFonts w:ascii="Calibri" w:eastAsia="Calibri" w:hAnsi="Calibri" w:cs="Calibri"/>
          <w:lang w:val="en-US"/>
        </w:rPr>
        <w:t>–</w:t>
      </w:r>
      <w:r w:rsidRPr="00307526">
        <w:rPr>
          <w:rFonts w:ascii="Calibri" w:eastAsia="Calibri" w:hAnsi="Calibri" w:cs="Calibri"/>
          <w:lang w:val="en-US"/>
        </w:rPr>
        <w:t xml:space="preserve"> Jungho Im</w:t>
      </w:r>
      <w:r>
        <w:rPr>
          <w:rFonts w:ascii="Calibri" w:eastAsia="Calibri" w:hAnsi="Calibri" w:cs="Calibri"/>
          <w:lang w:val="en-US"/>
        </w:rPr>
        <w:t>,</w:t>
      </w:r>
      <w:r w:rsidRPr="00307526">
        <w:rPr>
          <w:rFonts w:ascii="Calibri" w:eastAsia="Calibri" w:hAnsi="Calibri" w:cs="Calibri"/>
          <w:lang w:val="en-US"/>
        </w:rPr>
        <w:t xml:space="preserve"> </w:t>
      </w:r>
      <w:r w:rsidRPr="00E914A7">
        <w:rPr>
          <w:rFonts w:ascii="Calibri" w:eastAsia="Calibri" w:hAnsi="Calibri" w:cs="Calibri"/>
          <w:i/>
          <w:iCs/>
          <w:lang w:val="en-US"/>
        </w:rPr>
        <w:t>GIScience &amp; Remote Sensing</w:t>
      </w:r>
    </w:p>
    <w:p w14:paraId="28D71DE8" w14:textId="77777777" w:rsidR="009A7DE1" w:rsidRPr="00A90311" w:rsidRDefault="009A7DE1" w:rsidP="009A7DE1">
      <w:pPr>
        <w:jc w:val="both"/>
        <w:rPr>
          <w:b/>
          <w:bCs/>
        </w:rPr>
      </w:pPr>
      <w:r w:rsidRPr="00A90311">
        <w:rPr>
          <w:b/>
          <w:bCs/>
        </w:rPr>
        <w:t>What next for the journal?</w:t>
      </w:r>
    </w:p>
    <w:p w14:paraId="5FA31F07" w14:textId="5AFD005E" w:rsidR="009A7DE1" w:rsidRPr="00A90311" w:rsidRDefault="009A7DE1" w:rsidP="009A7DE1">
      <w:pPr>
        <w:jc w:val="both"/>
      </w:pPr>
      <w:r w:rsidRPr="00A90311">
        <w:t>“</w:t>
      </w:r>
      <w:r w:rsidRPr="00621E48">
        <w:rPr>
          <w:i/>
          <w:iCs/>
        </w:rPr>
        <w:t>We will improve our submission guidelines, in particular for data articles and software articles, and work on peer-review guidelines for these two article types.</w:t>
      </w:r>
      <w:r w:rsidRPr="00A90311">
        <w:t xml:space="preserve">” </w:t>
      </w:r>
      <w:r>
        <w:rPr>
          <w:rFonts w:ascii="Calibri" w:hAnsi="Calibri" w:cs="Calibri"/>
        </w:rPr>
        <w:t>–</w:t>
      </w:r>
      <w:r w:rsidRPr="00307526">
        <w:rPr>
          <w:rFonts w:ascii="Calibri" w:hAnsi="Calibri" w:cs="Calibri"/>
        </w:rPr>
        <w:t xml:space="preserve"> Linlin Guan</w:t>
      </w:r>
      <w:r>
        <w:rPr>
          <w:rFonts w:ascii="Calibri" w:hAnsi="Calibri" w:cs="Calibri"/>
        </w:rPr>
        <w:t>,</w:t>
      </w:r>
      <w:r w:rsidRPr="00307526">
        <w:rPr>
          <w:rFonts w:ascii="Calibri" w:hAnsi="Calibri" w:cs="Calibri"/>
        </w:rPr>
        <w:t xml:space="preserve"> </w:t>
      </w:r>
      <w:r w:rsidRPr="00E914A7">
        <w:rPr>
          <w:rFonts w:ascii="Calibri" w:hAnsi="Calibri" w:cs="Calibri"/>
          <w:i/>
          <w:iCs/>
        </w:rPr>
        <w:t>Big Earth Data</w:t>
      </w:r>
      <w:r w:rsidR="00C4071B">
        <w:rPr>
          <w:rFonts w:ascii="Calibri" w:hAnsi="Calibri" w:cs="Calibri"/>
          <w:i/>
          <w:iCs/>
        </w:rPr>
        <w:t>.</w:t>
      </w:r>
    </w:p>
    <w:p w14:paraId="0FEA2FE7" w14:textId="424A2D76" w:rsidR="009A7DE1" w:rsidRDefault="009A7DE1" w:rsidP="009A7DE1">
      <w:pPr>
        <w:jc w:val="both"/>
        <w:rPr>
          <w:rFonts w:ascii="Calibri" w:eastAsia="Calibri" w:hAnsi="Calibri" w:cs="Calibri"/>
          <w:i/>
          <w:iCs/>
          <w:lang w:val="en-US"/>
        </w:rPr>
      </w:pPr>
      <w:r w:rsidRPr="00A90311">
        <w:t>“</w:t>
      </w:r>
      <w:r w:rsidRPr="00621E48">
        <w:rPr>
          <w:i/>
          <w:iCs/>
        </w:rPr>
        <w:t>Code Ocean allows reviewers to run codes directly on the site without download the codes and data. They also allow the codes and data to run online to reproduce graphs and maps with the paper when published. This seems ideal, but the procedures to set up Code Ocean capsules are much more cumbersome than FigShare, Dryad, and GitHub. I hope that Code Ocean can improve over time to simplify the submission process, or other similar sites will be available to support sharing data and codes with capabilities of online execution.</w:t>
      </w:r>
      <w:r w:rsidRPr="00A90311">
        <w:t xml:space="preserve">” </w:t>
      </w:r>
      <w:r>
        <w:rPr>
          <w:rFonts w:ascii="Calibri" w:eastAsia="Calibri" w:hAnsi="Calibri" w:cs="Calibri"/>
          <w:lang w:val="en-US"/>
        </w:rPr>
        <w:t>–</w:t>
      </w:r>
      <w:r w:rsidRPr="00307526">
        <w:rPr>
          <w:rFonts w:ascii="Calibri" w:eastAsia="Calibri" w:hAnsi="Calibri" w:cs="Calibri"/>
          <w:lang w:val="en-US"/>
        </w:rPr>
        <w:t xml:space="preserve"> May Yuan</w:t>
      </w:r>
      <w:r>
        <w:rPr>
          <w:rFonts w:ascii="Calibri" w:eastAsia="Calibri" w:hAnsi="Calibri" w:cs="Calibri"/>
          <w:lang w:val="en-US"/>
        </w:rPr>
        <w:t>,</w:t>
      </w:r>
      <w:r w:rsidRPr="00307526">
        <w:rPr>
          <w:rFonts w:ascii="Calibri" w:eastAsia="Calibri" w:hAnsi="Calibri" w:cs="Calibri"/>
          <w:lang w:val="en-US"/>
        </w:rPr>
        <w:t xml:space="preserve"> </w:t>
      </w:r>
      <w:r w:rsidRPr="00E914A7">
        <w:rPr>
          <w:rFonts w:ascii="Calibri" w:eastAsia="Calibri" w:hAnsi="Calibri" w:cs="Calibri"/>
          <w:i/>
          <w:iCs/>
          <w:lang w:val="en-US"/>
        </w:rPr>
        <w:t>International Journal of Geographical Information Science</w:t>
      </w:r>
    </w:p>
    <w:p w14:paraId="68C9DC27" w14:textId="7BA868B0" w:rsidR="009A7DE1" w:rsidRDefault="009A7DE1" w:rsidP="009A7DE1">
      <w:pPr>
        <w:pStyle w:val="Heading2"/>
      </w:pPr>
      <w:r>
        <w:t>Conclusion</w:t>
      </w:r>
    </w:p>
    <w:p w14:paraId="53C042D0" w14:textId="420A350F" w:rsidR="00940A61" w:rsidRDefault="00B44A3E" w:rsidP="009A7DE1">
      <w:pPr>
        <w:jc w:val="both"/>
      </w:pPr>
      <w:r>
        <w:t xml:space="preserve">As part of our </w:t>
      </w:r>
      <w:r w:rsidR="00330B8B">
        <w:t>activity</w:t>
      </w:r>
      <w:r>
        <w:t xml:space="preserve"> to support the </w:t>
      </w:r>
      <w:r w:rsidRPr="0002293A">
        <w:t>Commitment to Enabling FAIR Data in the Earth, Space, and Environmental Sciences</w:t>
      </w:r>
      <w:r w:rsidR="00330B8B">
        <w:t>,</w:t>
      </w:r>
      <w:r w:rsidRPr="001B5FB7">
        <w:t xml:space="preserve"> </w:t>
      </w:r>
      <w:r w:rsidR="00330B8B">
        <w:t xml:space="preserve">we </w:t>
      </w:r>
      <w:r w:rsidR="005F3F78">
        <w:t xml:space="preserve">began </w:t>
      </w:r>
      <w:r w:rsidR="005F3F78" w:rsidRPr="0015388F">
        <w:t>a pilot</w:t>
      </w:r>
      <w:r w:rsidR="005F3F78">
        <w:t xml:space="preserve"> in November 2019, in which we implemented our most-open data-sharing policy, </w:t>
      </w:r>
      <w:r w:rsidR="000A125B">
        <w:t>‘open &amp; FAIR’, on a small group of Earth and Environmental Sciences journals</w:t>
      </w:r>
      <w:r w:rsidR="005F3F78">
        <w:t xml:space="preserve">. </w:t>
      </w:r>
      <w:r w:rsidR="00B71E53">
        <w:t>The ambition of the</w:t>
      </w:r>
      <w:r w:rsidR="005F3F78">
        <w:t xml:space="preserve"> pilot </w:t>
      </w:r>
      <w:r w:rsidR="00B71E53">
        <w:t>was</w:t>
      </w:r>
      <w:r w:rsidR="005F3F78">
        <w:t xml:space="preserve"> to </w:t>
      </w:r>
      <w:r w:rsidR="00B71E53">
        <w:t>investigate</w:t>
      </w:r>
      <w:r w:rsidR="005F3F78">
        <w:t xml:space="preserve"> the impact of implementing an open data-sharing policy in </w:t>
      </w:r>
      <w:r w:rsidR="00B71E53">
        <w:t xml:space="preserve">these </w:t>
      </w:r>
      <w:r w:rsidR="005F3F78">
        <w:t xml:space="preserve">journals, as well as </w:t>
      </w:r>
      <w:r w:rsidR="00D94635">
        <w:t xml:space="preserve">to better understand </w:t>
      </w:r>
      <w:r w:rsidR="005F3F78">
        <w:t xml:space="preserve">what system updates would </w:t>
      </w:r>
      <w:r w:rsidR="00D94635">
        <w:t xml:space="preserve">be </w:t>
      </w:r>
      <w:r w:rsidR="005F3F78">
        <w:t>need</w:t>
      </w:r>
      <w:r w:rsidR="00D94635">
        <w:t>ed</w:t>
      </w:r>
      <w:r w:rsidR="005F3F78">
        <w:t xml:space="preserve"> to facilitate </w:t>
      </w:r>
      <w:r w:rsidR="00D94635">
        <w:t xml:space="preserve">the </w:t>
      </w:r>
      <w:r w:rsidR="005F3F78">
        <w:t xml:space="preserve">wider roll-out of </w:t>
      </w:r>
      <w:r w:rsidR="00D94635">
        <w:t>our open data-sharing</w:t>
      </w:r>
      <w:r w:rsidR="005F3F78">
        <w:t xml:space="preserve"> polic</w:t>
      </w:r>
      <w:r w:rsidR="00D94635">
        <w:t>ies</w:t>
      </w:r>
      <w:r w:rsidR="005F3F78">
        <w:t xml:space="preserve"> and what resources would be required </w:t>
      </w:r>
      <w:r w:rsidR="005F3F78">
        <w:lastRenderedPageBreak/>
        <w:t xml:space="preserve">for our journal editors and our authors </w:t>
      </w:r>
      <w:r w:rsidR="00D94635">
        <w:t>to support</w:t>
      </w:r>
      <w:r w:rsidR="005F3F78">
        <w:t xml:space="preserve"> compl</w:t>
      </w:r>
      <w:r w:rsidR="00D94635">
        <w:t>iance</w:t>
      </w:r>
      <w:r w:rsidR="005F3F78">
        <w:t xml:space="preserve"> with the guidelines</w:t>
      </w:r>
      <w:r w:rsidR="008B0AB9">
        <w:t>.</w:t>
      </w:r>
      <w:r w:rsidR="00D94635">
        <w:t xml:space="preserve"> </w:t>
      </w:r>
      <w:r w:rsidR="008B0AB9">
        <w:t>We also saw this pilot as an opportunity to improve the quality of our journals by increasing the transparency of the research that we published</w:t>
      </w:r>
      <w:r w:rsidR="00927232">
        <w:t>, and to</w:t>
      </w:r>
      <w:r w:rsidR="008B0AB9">
        <w:t xml:space="preserve"> mov</w:t>
      </w:r>
      <w:r w:rsidR="00927232">
        <w:t>e</w:t>
      </w:r>
      <w:r w:rsidR="008B0AB9">
        <w:t xml:space="preserve"> together </w:t>
      </w:r>
      <w:r w:rsidR="00927232">
        <w:t xml:space="preserve">with the Earth and Environmental Sciences research community towards greater adoption </w:t>
      </w:r>
      <w:r w:rsidR="00940A61">
        <w:t xml:space="preserve">of </w:t>
      </w:r>
      <w:r>
        <w:t>best practices around open data.</w:t>
      </w:r>
    </w:p>
    <w:p w14:paraId="710AE38F" w14:textId="2E410181" w:rsidR="00057696" w:rsidRDefault="00D22BC6" w:rsidP="00057696">
      <w:pPr>
        <w:jc w:val="both"/>
      </w:pPr>
      <w:r w:rsidRPr="00D46154">
        <w:t>Following the completion of the pilot, we investigated the impact of implementing</w:t>
      </w:r>
      <w:r w:rsidR="00B841C8" w:rsidRPr="00D46154">
        <w:t xml:space="preserve"> our most-open data-sharing policy on a range of parameters, including </w:t>
      </w:r>
      <w:r w:rsidR="00C93703" w:rsidRPr="00D46154">
        <w:t xml:space="preserve">the number of original submissions and accepted articles, the journal’s acceptance rate, </w:t>
      </w:r>
      <w:r w:rsidR="00C32F65" w:rsidRPr="00D46154">
        <w:t xml:space="preserve">the </w:t>
      </w:r>
      <w:r w:rsidR="00CA0F54" w:rsidRPr="00D46154">
        <w:t xml:space="preserve">peer-review times (median number of days to first and final decisions), and </w:t>
      </w:r>
      <w:r w:rsidR="00E52475" w:rsidRPr="00D46154">
        <w:t>citations to published articles</w:t>
      </w:r>
      <w:r w:rsidR="00D46154" w:rsidRPr="00D46154">
        <w:t>.</w:t>
      </w:r>
      <w:r w:rsidR="00D94635">
        <w:t xml:space="preserve"> </w:t>
      </w:r>
      <w:r w:rsidR="00F571C5" w:rsidRPr="00935D0A">
        <w:t>P</w:t>
      </w:r>
      <w:r w:rsidR="00057696" w:rsidRPr="00935D0A">
        <w:t>leas</w:t>
      </w:r>
      <w:r w:rsidR="00F571C5" w:rsidRPr="00935D0A">
        <w:t>ingly,</w:t>
      </w:r>
      <w:r w:rsidR="00057696" w:rsidRPr="00935D0A">
        <w:t xml:space="preserve"> </w:t>
      </w:r>
      <w:r w:rsidR="005251F6" w:rsidRPr="00935D0A">
        <w:t>within the context of the relative recent</w:t>
      </w:r>
      <w:r w:rsidR="00057696" w:rsidRPr="00935D0A">
        <w:t xml:space="preserve"> trajectory </w:t>
      </w:r>
      <w:r w:rsidR="005251F6" w:rsidRPr="00935D0A">
        <w:t xml:space="preserve">for the participating journals, we found that </w:t>
      </w:r>
      <w:r w:rsidR="00057696" w:rsidRPr="00935D0A">
        <w:t xml:space="preserve">introducing </w:t>
      </w:r>
      <w:r w:rsidR="005251F6" w:rsidRPr="00935D0A">
        <w:t>an open &amp; FAIR</w:t>
      </w:r>
      <w:r w:rsidR="00057696" w:rsidRPr="00935D0A">
        <w:t xml:space="preserve"> data</w:t>
      </w:r>
      <w:r w:rsidR="005251F6" w:rsidRPr="00935D0A">
        <w:t>-</w:t>
      </w:r>
      <w:r w:rsidR="00057696" w:rsidRPr="00935D0A">
        <w:t xml:space="preserve">sharing policy </w:t>
      </w:r>
      <w:r w:rsidR="005251F6" w:rsidRPr="00935D0A">
        <w:t>did not</w:t>
      </w:r>
      <w:r w:rsidR="00057696" w:rsidRPr="00935D0A">
        <w:t xml:space="preserve"> </w:t>
      </w:r>
      <w:r w:rsidR="005251F6" w:rsidRPr="00935D0A">
        <w:t xml:space="preserve">have </w:t>
      </w:r>
      <w:r w:rsidR="00057696" w:rsidRPr="00935D0A">
        <w:t>a</w:t>
      </w:r>
      <w:r w:rsidR="005251F6" w:rsidRPr="00935D0A">
        <w:t xml:space="preserve"> notable</w:t>
      </w:r>
      <w:r w:rsidR="00057696" w:rsidRPr="00935D0A">
        <w:t xml:space="preserve"> effect on </w:t>
      </w:r>
      <w:r w:rsidR="005251F6" w:rsidRPr="00935D0A">
        <w:t>either the number of</w:t>
      </w:r>
      <w:r w:rsidR="00057696" w:rsidRPr="00935D0A">
        <w:t xml:space="preserve"> submi</w:t>
      </w:r>
      <w:r w:rsidR="004A2C8F" w:rsidRPr="00935D0A">
        <w:t>tted</w:t>
      </w:r>
      <w:r w:rsidR="00057696" w:rsidRPr="00935D0A">
        <w:t xml:space="preserve"> or accept</w:t>
      </w:r>
      <w:r w:rsidR="004A2C8F" w:rsidRPr="00935D0A">
        <w:t>ed</w:t>
      </w:r>
      <w:r w:rsidR="00057696" w:rsidRPr="00935D0A">
        <w:t xml:space="preserve"> articles</w:t>
      </w:r>
      <w:r w:rsidR="002D2A6D" w:rsidRPr="00935D0A">
        <w:t xml:space="preserve">, </w:t>
      </w:r>
      <w:r w:rsidR="00935D0A" w:rsidRPr="00935D0A">
        <w:t xml:space="preserve">in line with </w:t>
      </w:r>
      <w:r w:rsidR="00935D0A" w:rsidRPr="00E343B1">
        <w:t xml:space="preserve">the results </w:t>
      </w:r>
      <w:r w:rsidR="00D52CEC" w:rsidRPr="00E343B1">
        <w:t xml:space="preserve">reported by </w:t>
      </w:r>
      <w:r w:rsidR="00A57876" w:rsidRPr="000D1C51">
        <w:t>Colavizza</w:t>
      </w:r>
      <w:r w:rsidR="00A57876">
        <w:rPr>
          <w:rFonts w:ascii="Helvetica" w:hAnsi="Helvetica" w:cs="Helvetica"/>
          <w:color w:val="202020"/>
          <w:shd w:val="clear" w:color="auto" w:fill="FFFFFF"/>
        </w:rPr>
        <w:t xml:space="preserve"> </w:t>
      </w:r>
      <w:r w:rsidR="00D52CEC" w:rsidRPr="000D1C51">
        <w:t>et al.,</w:t>
      </w:r>
      <w:r w:rsidR="00D52CEC" w:rsidRPr="00E343B1">
        <w:t xml:space="preserve"> and in contrast to the findings reported </w:t>
      </w:r>
      <w:r w:rsidR="006D30CB">
        <w:t xml:space="preserve">by Vines in </w:t>
      </w:r>
      <w:r w:rsidR="006D30CB" w:rsidRPr="006D30CB">
        <w:rPr>
          <w:i/>
          <w:iCs/>
        </w:rPr>
        <w:t>The Scholarly Kitchen</w:t>
      </w:r>
      <w:r w:rsidR="00E343B1" w:rsidRPr="006D30CB">
        <w:t>.</w:t>
      </w:r>
      <w:r w:rsidR="00057696" w:rsidRPr="006D30CB">
        <w:t xml:space="preserve"> </w:t>
      </w:r>
      <w:r w:rsidR="00DD214A">
        <w:t xml:space="preserve"> We also did not notice a consistent trend in the</w:t>
      </w:r>
      <w:r w:rsidR="00D724FD">
        <w:t xml:space="preserve"> peer-review times for the participating journals following the implementation of the pilot. Interestingly, </w:t>
      </w:r>
      <w:r w:rsidR="00A7495D">
        <w:t>we noticed</w:t>
      </w:r>
      <w:r w:rsidR="00F93537">
        <w:t xml:space="preserve"> </w:t>
      </w:r>
      <w:r w:rsidR="00910148">
        <w:t>a potential positive influence on article citation, although it will take some time for this picture to become clearer.</w:t>
      </w:r>
    </w:p>
    <w:p w14:paraId="6A6ED10D" w14:textId="5FECDC58" w:rsidR="00F12495" w:rsidRPr="00151B15" w:rsidRDefault="00656F67" w:rsidP="00A342EC">
      <w:pPr>
        <w:jc w:val="both"/>
      </w:pPr>
      <w:r>
        <w:t>Following the completion of the pilot</w:t>
      </w:r>
      <w:r w:rsidR="001F0CE0">
        <w:t xml:space="preserve">, we </w:t>
      </w:r>
      <w:r w:rsidR="00500E15">
        <w:t>have</w:t>
      </w:r>
      <w:r w:rsidR="001F0CE0">
        <w:t xml:space="preserve"> continue</w:t>
      </w:r>
      <w:r w:rsidR="00500E15">
        <w:t>d</w:t>
      </w:r>
      <w:r w:rsidR="001F0CE0">
        <w:t xml:space="preserve"> </w:t>
      </w:r>
      <w:r w:rsidR="00F12495" w:rsidRPr="00151B15">
        <w:t xml:space="preserve">to </w:t>
      </w:r>
      <w:r w:rsidR="003D0376">
        <w:t>develop</w:t>
      </w:r>
      <w:r w:rsidR="00F12495" w:rsidRPr="00151B15">
        <w:t xml:space="preserve"> our workflows and practices to </w:t>
      </w:r>
      <w:r w:rsidR="001F0CE0">
        <w:t>facilitate</w:t>
      </w:r>
      <w:r w:rsidR="00F12495" w:rsidRPr="00151B15">
        <w:t xml:space="preserve"> best practice on data sharing, </w:t>
      </w:r>
      <w:r w:rsidR="001F0CE0">
        <w:t xml:space="preserve">the </w:t>
      </w:r>
      <w:r w:rsidR="00F12495" w:rsidRPr="00151B15">
        <w:t>handling of metadata and data citation</w:t>
      </w:r>
      <w:r w:rsidR="001F0CE0">
        <w:t xml:space="preserve">. </w:t>
      </w:r>
      <w:r w:rsidR="00A342EC">
        <w:t xml:space="preserve">Work </w:t>
      </w:r>
      <w:r w:rsidR="00500E15">
        <w:t>in this regard, as well as the implementation</w:t>
      </w:r>
      <w:r w:rsidR="00F12495" w:rsidRPr="00151B15">
        <w:t xml:space="preserve"> </w:t>
      </w:r>
      <w:r w:rsidR="00500E15">
        <w:t xml:space="preserve">of </w:t>
      </w:r>
      <w:r w:rsidR="00A342EC">
        <w:t xml:space="preserve">more-open data-sharing policies </w:t>
      </w:r>
      <w:r w:rsidR="00500E15">
        <w:t>on</w:t>
      </w:r>
      <w:r w:rsidR="00F12495" w:rsidRPr="00151B15">
        <w:t xml:space="preserve"> </w:t>
      </w:r>
      <w:r w:rsidR="00A342EC">
        <w:t>a wider range of</w:t>
      </w:r>
      <w:r w:rsidR="00F12495" w:rsidRPr="00151B15">
        <w:t xml:space="preserve"> journals</w:t>
      </w:r>
      <w:r w:rsidR="00500E15">
        <w:t>,</w:t>
      </w:r>
      <w:r w:rsidR="00F12495" w:rsidRPr="00151B15">
        <w:t xml:space="preserve"> </w:t>
      </w:r>
      <w:r w:rsidR="00A342EC">
        <w:t>is ongoing</w:t>
      </w:r>
      <w:r w:rsidR="00F12495" w:rsidRPr="00151B15">
        <w:t>.</w:t>
      </w:r>
    </w:p>
    <w:p w14:paraId="78CB1063" w14:textId="36DAD85B" w:rsidR="50FA9520" w:rsidRDefault="50FA9520" w:rsidP="583F950C">
      <w:pPr>
        <w:pStyle w:val="Heading2"/>
      </w:pPr>
      <w:r>
        <w:t>Conflict of Interest Statement</w:t>
      </w:r>
    </w:p>
    <w:p w14:paraId="20B1B77A" w14:textId="198A89A7" w:rsidR="50FA9520" w:rsidRDefault="50FA9520" w:rsidP="583F950C">
      <w:r>
        <w:t xml:space="preserve">All the authors are employees of Taylor &amp; Francis Group, and this paper </w:t>
      </w:r>
      <w:r w:rsidR="00FD4541">
        <w:t>describes</w:t>
      </w:r>
      <w:r>
        <w:t xml:space="preserve"> activity taken </w:t>
      </w:r>
      <w:r w:rsidR="03567FAC">
        <w:t>under that employment. No other conflicts are declared.</w:t>
      </w:r>
    </w:p>
    <w:p w14:paraId="2B5D8CE1" w14:textId="374E146C" w:rsidR="00775C29" w:rsidRDefault="00775C29" w:rsidP="00CF3CCE">
      <w:pPr>
        <w:pStyle w:val="Heading2"/>
      </w:pPr>
      <w:r>
        <w:t>Data Availability Statement</w:t>
      </w:r>
    </w:p>
    <w:p w14:paraId="4E8C8F02" w14:textId="35EE346A" w:rsidR="00F840C4" w:rsidRDefault="00CF3CCE" w:rsidP="00F840C4">
      <w:r>
        <w:t xml:space="preserve">The data </w:t>
      </w:r>
      <w:r w:rsidR="006F35AA">
        <w:t>that we</w:t>
      </w:r>
      <w:r w:rsidR="00B9302A">
        <w:t xml:space="preserve"> </w:t>
      </w:r>
      <w:r>
        <w:t xml:space="preserve">collected </w:t>
      </w:r>
      <w:r w:rsidR="00B9302A">
        <w:t>pertaining to the</w:t>
      </w:r>
      <w:r>
        <w:t xml:space="preserve"> journals </w:t>
      </w:r>
      <w:r w:rsidR="00B9302A">
        <w:t xml:space="preserve">published by Taylor &amp; Francis </w:t>
      </w:r>
      <w:r w:rsidR="006F35AA">
        <w:t>are</w:t>
      </w:r>
      <w:r>
        <w:t xml:space="preserve"> </w:t>
      </w:r>
      <w:r w:rsidR="00AA6FEE">
        <w:t>confidential</w:t>
      </w:r>
      <w:r w:rsidR="00F840C4">
        <w:t>. However, we have prepared a journal</w:t>
      </w:r>
      <w:r w:rsidR="005107BD">
        <w:t>-</w:t>
      </w:r>
      <w:r w:rsidR="00F840C4">
        <w:t>anonymised sheet of the raw data</w:t>
      </w:r>
      <w:r w:rsidR="00AA6FEE">
        <w:t>,</w:t>
      </w:r>
      <w:r w:rsidR="00F840C4">
        <w:t xml:space="preserve"> which is available </w:t>
      </w:r>
      <w:r w:rsidR="006B29B9">
        <w:t>in Zenodo</w:t>
      </w:r>
      <w:r w:rsidR="00A95CFA">
        <w:t xml:space="preserve"> - </w:t>
      </w:r>
      <w:r w:rsidR="00A95CFA">
        <w:rPr>
          <w:rFonts w:ascii="Roboto" w:hAnsi="Roboto"/>
          <w:color w:val="333333"/>
          <w:sz w:val="21"/>
          <w:szCs w:val="21"/>
          <w:shd w:val="clear" w:color="auto" w:fill="F5F5F5"/>
        </w:rPr>
        <w:t>https://doi.org/10.5281/zenodo.5283977</w:t>
      </w:r>
      <w:sdt>
        <w:sdtPr>
          <w:id w:val="430474504"/>
          <w:citation/>
        </w:sdtPr>
        <w:sdtContent>
          <w:r w:rsidR="006B29B9">
            <w:fldChar w:fldCharType="begin"/>
          </w:r>
          <w:r w:rsidR="006B29B9">
            <w:instrText xml:space="preserve"> CITATION Can21 \l 2057 </w:instrText>
          </w:r>
          <w:r w:rsidR="006B29B9">
            <w:fldChar w:fldCharType="separate"/>
          </w:r>
          <w:r w:rsidR="00A95CFA">
            <w:rPr>
              <w:noProof/>
            </w:rPr>
            <w:t xml:space="preserve"> (Cannon, Kelly, &amp; Freeman, 2021)</w:t>
          </w:r>
          <w:r w:rsidR="006B29B9">
            <w:fldChar w:fldCharType="end"/>
          </w:r>
        </w:sdtContent>
      </w:sdt>
      <w:r w:rsidR="006B29B9">
        <w:t>.</w:t>
      </w:r>
    </w:p>
    <w:p w14:paraId="55F99151" w14:textId="390B6649" w:rsidR="00C4071B" w:rsidRDefault="00C4071B" w:rsidP="00C4071B">
      <w:pPr>
        <w:pStyle w:val="Heading2"/>
      </w:pPr>
      <w:r>
        <w:t>Acknowledgements</w:t>
      </w:r>
    </w:p>
    <w:p w14:paraId="6248B4AE" w14:textId="76753EF0" w:rsidR="00C4071B" w:rsidRPr="001E0D3D" w:rsidRDefault="00C4071B" w:rsidP="00C4071B">
      <w:pPr>
        <w:jc w:val="both"/>
      </w:pPr>
      <w:r>
        <w:t>We thank the journal editors and society partners who participated in the pilot for their support, enthusiasm, and understanding as we embedded new open-science practices in their journals. We also thank those who work in an administrative capacity to support the pilot journals for their hard work as they adapted to new workflows</w:t>
      </w:r>
      <w:r w:rsidR="00E61E57">
        <w:t xml:space="preserve">, and Amy Drew for </w:t>
      </w:r>
      <w:r w:rsidR="00A95117">
        <w:t>her help with data visualisation</w:t>
      </w:r>
      <w:r>
        <w:t>.</w:t>
      </w:r>
    </w:p>
    <w:p w14:paraId="5BB5D0FD" w14:textId="77777777" w:rsidR="009A7DE1" w:rsidRDefault="009A7DE1" w:rsidP="009A7DE1">
      <w:pPr>
        <w:pStyle w:val="Heading2"/>
      </w:pPr>
      <w:r w:rsidRPr="00052D1F">
        <w:t>Notes on Contributors</w:t>
      </w:r>
    </w:p>
    <w:p w14:paraId="654A81F6" w14:textId="4E30615F" w:rsidR="00F352BA" w:rsidRPr="001E0D3D" w:rsidRDefault="00F352BA" w:rsidP="00F352BA">
      <w:pPr>
        <w:jc w:val="both"/>
      </w:pPr>
      <w:r w:rsidRPr="001E0D3D">
        <w:t xml:space="preserve">Matthew Cannon is the Head of Open Research for Taylor &amp; Francis. </w:t>
      </w:r>
      <w:r w:rsidR="762456AC">
        <w:t xml:space="preserve">This role involves setting policies and practices to increase adoption of open science activities on </w:t>
      </w:r>
      <w:r w:rsidR="3D539CA3">
        <w:t>Taylor &amp; Francis journals</w:t>
      </w:r>
      <w:r w:rsidR="762456AC">
        <w:t xml:space="preserve">. </w:t>
      </w:r>
      <w:r w:rsidRPr="001E0D3D">
        <w:t xml:space="preserve">He has worked at Taylor &amp; Francis since 2008 in a range of editorial roles across HSS and STM areas mainly working with journal editors and societies. </w:t>
      </w:r>
      <w:r w:rsidR="3CE4D3F9">
        <w:t xml:space="preserve"> He is a member of the Research Data Alliance, and on the publisher advisory board of the Centre of Open Science and www.FAIRSharing.org</w:t>
      </w:r>
      <w:r>
        <w:t xml:space="preserve"> [ORCiD - </w:t>
      </w:r>
      <w:r w:rsidRPr="583F950C">
        <w:rPr>
          <w:rFonts w:ascii="Calibri" w:eastAsia="Calibri" w:hAnsi="Calibri" w:cs="Calibri"/>
          <w:color w:val="494A4C"/>
        </w:rPr>
        <w:t>0000-0002-1496-8392</w:t>
      </w:r>
      <w:r>
        <w:t>]</w:t>
      </w:r>
    </w:p>
    <w:p w14:paraId="5953B1C6" w14:textId="35645DBC" w:rsidR="1EF2A22C" w:rsidRDefault="1EF2A22C" w:rsidP="583F950C">
      <w:pPr>
        <w:jc w:val="both"/>
      </w:pPr>
      <w:r>
        <w:rPr>
          <w:noProof/>
        </w:rPr>
        <w:lastRenderedPageBreak/>
        <w:drawing>
          <wp:inline distT="0" distB="0" distL="0" distR="0" wp14:anchorId="374F7CEC" wp14:editId="093476E1">
            <wp:extent cx="1044575" cy="1066800"/>
            <wp:effectExtent l="0" t="0" r="3175" b="0"/>
            <wp:docPr id="286869316" name="Picture 286869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053402" cy="1075815"/>
                    </a:xfrm>
                    <a:prstGeom prst="rect">
                      <a:avLst/>
                    </a:prstGeom>
                  </pic:spPr>
                </pic:pic>
              </a:graphicData>
            </a:graphic>
          </wp:inline>
        </w:drawing>
      </w:r>
    </w:p>
    <w:p w14:paraId="745801D7" w14:textId="2DA74F3F" w:rsidR="009A7DE1" w:rsidRDefault="00115495" w:rsidP="009A7DE1">
      <w:pPr>
        <w:jc w:val="both"/>
      </w:pPr>
      <w:r w:rsidRPr="00B04A2B">
        <w:t xml:space="preserve">Dr Andrew Kelly holds a BSc </w:t>
      </w:r>
      <w:r>
        <w:t xml:space="preserve">(First Class </w:t>
      </w:r>
      <w:r w:rsidRPr="00B04A2B">
        <w:t>Hon</w:t>
      </w:r>
      <w:r>
        <w:t>ours)</w:t>
      </w:r>
      <w:r w:rsidRPr="00B04A2B">
        <w:t xml:space="preserve"> in Chemistry from the University of York (2003) and a PhD in Chemistry from the University of Bath (2008). He has worked in publishing for more than 10 years and is currently a Journals Portfolio Manager at Taylor &amp; Francis, where he is responsible for the Remote Sensing, GIS &amp; Cartography titles.</w:t>
      </w:r>
      <w:r>
        <w:t xml:space="preserve"> ORCiD: </w:t>
      </w:r>
      <w:r w:rsidRPr="00765EFC">
        <w:t>0000-0002-5785-4782</w:t>
      </w:r>
    </w:p>
    <w:p w14:paraId="6E93F37F" w14:textId="3E4AC2CB" w:rsidR="00F352BA" w:rsidRPr="001E0D3D" w:rsidRDefault="00F352BA" w:rsidP="009A7DE1">
      <w:pPr>
        <w:jc w:val="both"/>
      </w:pPr>
      <w:r>
        <w:rPr>
          <w:noProof/>
        </w:rPr>
        <w:drawing>
          <wp:inline distT="0" distB="0" distL="0" distR="0" wp14:anchorId="2D1D8298" wp14:editId="4400E98B">
            <wp:extent cx="1009650" cy="1009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09650" cy="1009650"/>
                    </a:xfrm>
                    <a:prstGeom prst="rect">
                      <a:avLst/>
                    </a:prstGeom>
                    <a:noFill/>
                    <a:ln>
                      <a:noFill/>
                    </a:ln>
                  </pic:spPr>
                </pic:pic>
              </a:graphicData>
            </a:graphic>
          </wp:inline>
        </w:drawing>
      </w:r>
    </w:p>
    <w:p w14:paraId="3D591B50" w14:textId="7DB47114" w:rsidR="009A7DE1" w:rsidRDefault="00151B15" w:rsidP="009A7DE1">
      <w:pPr>
        <w:jc w:val="both"/>
      </w:pPr>
      <w:r w:rsidRPr="002D0E32">
        <w:t xml:space="preserve">Chris Freeman </w:t>
      </w:r>
      <w:r w:rsidR="64D1D9FA" w:rsidRPr="002D0E32">
        <w:t xml:space="preserve">graduated from </w:t>
      </w:r>
      <w:r w:rsidR="2BA09061" w:rsidRPr="002D0E32">
        <w:t>the University of Tasmania</w:t>
      </w:r>
      <w:r w:rsidR="2E899D41" w:rsidRPr="002D0E32">
        <w:t xml:space="preserve"> in 2015</w:t>
      </w:r>
      <w:r w:rsidR="2BA09061" w:rsidRPr="002D0E32">
        <w:t xml:space="preserve">, and has worked at Taylor &amp; Francis since 2017. He is a Journals Portfolio Manager </w:t>
      </w:r>
      <w:r w:rsidR="75FC04FC" w:rsidRPr="002D0E32">
        <w:t>and is responsible for</w:t>
      </w:r>
      <w:r w:rsidR="7F18D0FD" w:rsidRPr="002D0E32">
        <w:t xml:space="preserve"> Taylor &amp; Francis’ Geoscience journals, as well as a </w:t>
      </w:r>
      <w:r w:rsidR="351DEBF2" w:rsidRPr="002D0E32">
        <w:t xml:space="preserve">multidisciplinary </w:t>
      </w:r>
      <w:r w:rsidR="7F18D0FD" w:rsidRPr="002D0E32">
        <w:t>portfolio of</w:t>
      </w:r>
      <w:r w:rsidR="335C8F5F" w:rsidRPr="002D0E32">
        <w:t xml:space="preserve"> society-owned journals based in Australia and New Zealand.</w:t>
      </w:r>
    </w:p>
    <w:p w14:paraId="0E63122A" w14:textId="74A7D603" w:rsidR="006A08C1" w:rsidRPr="002D0E32" w:rsidRDefault="006A08C1" w:rsidP="009A7DE1">
      <w:pPr>
        <w:jc w:val="both"/>
      </w:pPr>
      <w:r>
        <w:rPr>
          <w:noProof/>
        </w:rPr>
        <w:drawing>
          <wp:inline distT="0" distB="0" distL="0" distR="0" wp14:anchorId="4FB0733F" wp14:editId="4C81E487">
            <wp:extent cx="1366978" cy="1025310"/>
            <wp:effectExtent l="0" t="635" r="4445"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24">
                      <a:extLst>
                        <a:ext uri="{28A0092B-C50C-407E-A947-70E740481C1C}">
                          <a14:useLocalDpi xmlns:a14="http://schemas.microsoft.com/office/drawing/2010/main" val="0"/>
                        </a:ext>
                      </a:extLst>
                    </a:blip>
                    <a:stretch>
                      <a:fillRect/>
                    </a:stretch>
                  </pic:blipFill>
                  <pic:spPr>
                    <a:xfrm rot="5400000">
                      <a:off x="0" y="0"/>
                      <a:ext cx="1366978" cy="1025310"/>
                    </a:xfrm>
                    <a:prstGeom prst="rect">
                      <a:avLst/>
                    </a:prstGeom>
                  </pic:spPr>
                </pic:pic>
              </a:graphicData>
            </a:graphic>
          </wp:inline>
        </w:drawing>
      </w:r>
    </w:p>
    <w:sdt>
      <w:sdtPr>
        <w:rPr>
          <w:rFonts w:asciiTheme="minorHAnsi" w:eastAsiaTheme="minorHAnsi" w:hAnsiTheme="minorHAnsi" w:cstheme="minorBidi"/>
          <w:color w:val="auto"/>
          <w:sz w:val="22"/>
          <w:szCs w:val="22"/>
        </w:rPr>
        <w:id w:val="-1969040043"/>
        <w:docPartObj>
          <w:docPartGallery w:val="Bibliographies"/>
          <w:docPartUnique/>
        </w:docPartObj>
      </w:sdtPr>
      <w:sdtEndPr/>
      <w:sdtContent>
        <w:p w14:paraId="0C6B3BF6" w14:textId="4A2695E8" w:rsidR="00240C74" w:rsidRDefault="00240C74">
          <w:pPr>
            <w:pStyle w:val="Heading1"/>
          </w:pPr>
          <w:r>
            <w:t>References</w:t>
          </w:r>
        </w:p>
        <w:sdt>
          <w:sdtPr>
            <w:id w:val="-573587230"/>
            <w:bibliography/>
          </w:sdtPr>
          <w:sdtEndPr/>
          <w:sdtContent>
            <w:p w14:paraId="2AD6B023" w14:textId="77777777" w:rsidR="00A95CFA" w:rsidRDefault="00240C74" w:rsidP="00A95CFA">
              <w:pPr>
                <w:pStyle w:val="Bibliography"/>
                <w:ind w:left="720" w:hanging="720"/>
                <w:rPr>
                  <w:noProof/>
                  <w:sz w:val="24"/>
                  <w:szCs w:val="24"/>
                </w:rPr>
              </w:pPr>
              <w:r>
                <w:fldChar w:fldCharType="begin"/>
              </w:r>
              <w:r>
                <w:instrText xml:space="preserve"> BIBLIOGRAPHY </w:instrText>
              </w:r>
              <w:r>
                <w:fldChar w:fldCharType="separate"/>
              </w:r>
              <w:r w:rsidR="00A95CFA">
                <w:rPr>
                  <w:noProof/>
                </w:rPr>
                <w:t xml:space="preserve">B. A. Nosek, G. A. (2015). Promoting an open research culture. </w:t>
              </w:r>
              <w:r w:rsidR="00A95CFA">
                <w:rPr>
                  <w:i/>
                  <w:iCs/>
                  <w:noProof/>
                </w:rPr>
                <w:t>Science</w:t>
              </w:r>
              <w:r w:rsidR="00A95CFA">
                <w:rPr>
                  <w:noProof/>
                </w:rPr>
                <w:t>, 1422-1425. doi:10.1126/science.aab2374</w:t>
              </w:r>
            </w:p>
            <w:p w14:paraId="092FE5F1" w14:textId="77777777" w:rsidR="00A95CFA" w:rsidRDefault="00A95CFA" w:rsidP="00A95CFA">
              <w:pPr>
                <w:pStyle w:val="Bibliography"/>
                <w:ind w:left="720" w:hanging="720"/>
                <w:rPr>
                  <w:noProof/>
                </w:rPr>
              </w:pPr>
              <w:r>
                <w:rPr>
                  <w:noProof/>
                </w:rPr>
                <w:t xml:space="preserve">Baynes, G. (2020, December). </w:t>
              </w:r>
              <w:r>
                <w:rPr>
                  <w:i/>
                  <w:iCs/>
                  <w:noProof/>
                </w:rPr>
                <w:t>State of Open Data survey 2020.</w:t>
              </w:r>
              <w:r>
                <w:rPr>
                  <w:noProof/>
                </w:rPr>
                <w:t xml:space="preserve"> doi:https://doi.org/10.6084/m9.figshare.13274744.v1</w:t>
              </w:r>
            </w:p>
            <w:p w14:paraId="0D94FD02" w14:textId="77777777" w:rsidR="00A95CFA" w:rsidRDefault="00A95CFA" w:rsidP="00A95CFA">
              <w:pPr>
                <w:pStyle w:val="Bibliography"/>
                <w:ind w:left="720" w:hanging="720"/>
                <w:rPr>
                  <w:noProof/>
                </w:rPr>
              </w:pPr>
              <w:r>
                <w:rPr>
                  <w:noProof/>
                </w:rPr>
                <w:t xml:space="preserve">Cannon, M., Kelly, A., &amp; Freeman, C. (2021). Submission and acceptance data for journals involved in the Taylor &amp; Francis FAIR data pilot. </w:t>
              </w:r>
              <w:r>
                <w:rPr>
                  <w:i/>
                  <w:iCs/>
                  <w:noProof/>
                </w:rPr>
                <w:t>Zenodo</w:t>
              </w:r>
              <w:r>
                <w:rPr>
                  <w:noProof/>
                </w:rPr>
                <w:t>. doi:https://doi.org/10.5281/zenodo.5283977</w:t>
              </w:r>
            </w:p>
            <w:p w14:paraId="27BB00E2" w14:textId="77777777" w:rsidR="00A95CFA" w:rsidRDefault="00A95CFA" w:rsidP="00A95CFA">
              <w:pPr>
                <w:pStyle w:val="Bibliography"/>
                <w:ind w:left="720" w:hanging="720"/>
                <w:rPr>
                  <w:noProof/>
                </w:rPr>
              </w:pPr>
              <w:r>
                <w:rPr>
                  <w:noProof/>
                </w:rPr>
                <w:t xml:space="preserve">COPDESS. (n.d.). </w:t>
              </w:r>
              <w:r>
                <w:rPr>
                  <w:i/>
                  <w:iCs/>
                  <w:noProof/>
                </w:rPr>
                <w:t>Coalition for Publishing Data in the Earth and Space Sciences</w:t>
              </w:r>
              <w:r>
                <w:rPr>
                  <w:noProof/>
                </w:rPr>
                <w:t>. Retrieved 2021, from https://copdess.org/</w:t>
              </w:r>
            </w:p>
            <w:p w14:paraId="4C1D98B2" w14:textId="77777777" w:rsidR="00A95CFA" w:rsidRDefault="00A95CFA" w:rsidP="00A95CFA">
              <w:pPr>
                <w:pStyle w:val="Bibliography"/>
                <w:ind w:left="720" w:hanging="720"/>
                <w:rPr>
                  <w:noProof/>
                </w:rPr>
              </w:pPr>
              <w:r>
                <w:rPr>
                  <w:noProof/>
                </w:rPr>
                <w:t xml:space="preserve">COPDESS. (n.d.). </w:t>
              </w:r>
              <w:r>
                <w:rPr>
                  <w:i/>
                  <w:iCs/>
                  <w:noProof/>
                </w:rPr>
                <w:t>Enabling FAIR data project</w:t>
              </w:r>
              <w:r>
                <w:rPr>
                  <w:noProof/>
                </w:rPr>
                <w:t>. Retrieved from Coalition for Publishing Data in the Earth and Space Sciences: https://copdess.org/enabling-fair-data-project/</w:t>
              </w:r>
            </w:p>
            <w:p w14:paraId="2677C027" w14:textId="77777777" w:rsidR="00A95CFA" w:rsidRDefault="00A95CFA" w:rsidP="00A95CFA">
              <w:pPr>
                <w:pStyle w:val="Bibliography"/>
                <w:ind w:left="720" w:hanging="720"/>
                <w:rPr>
                  <w:noProof/>
                </w:rPr>
              </w:pPr>
              <w:r>
                <w:rPr>
                  <w:noProof/>
                </w:rPr>
                <w:t>Crossref. (n.d.). Retrieved from https://www.crossref.org/</w:t>
              </w:r>
            </w:p>
            <w:p w14:paraId="5B1369B0" w14:textId="77777777" w:rsidR="00A95CFA" w:rsidRDefault="00A95CFA" w:rsidP="00A95CFA">
              <w:pPr>
                <w:pStyle w:val="Bibliography"/>
                <w:ind w:left="720" w:hanging="720"/>
                <w:rPr>
                  <w:noProof/>
                </w:rPr>
              </w:pPr>
              <w:r>
                <w:rPr>
                  <w:noProof/>
                </w:rPr>
                <w:t xml:space="preserve">Dryad. (n.d.). </w:t>
              </w:r>
              <w:r>
                <w:rPr>
                  <w:i/>
                  <w:iCs/>
                  <w:noProof/>
                </w:rPr>
                <w:t>Submission and Publication Process</w:t>
              </w:r>
              <w:r>
                <w:rPr>
                  <w:noProof/>
                </w:rPr>
                <w:t>. Retrieved from Dryad: https://datadryad.org/stash/submission_process</w:t>
              </w:r>
            </w:p>
            <w:p w14:paraId="12CA76C2" w14:textId="77777777" w:rsidR="00A95CFA" w:rsidRDefault="00A95CFA" w:rsidP="00A95CFA">
              <w:pPr>
                <w:pStyle w:val="Bibliography"/>
                <w:ind w:left="720" w:hanging="720"/>
                <w:rPr>
                  <w:noProof/>
                </w:rPr>
              </w:pPr>
              <w:r>
                <w:rPr>
                  <w:noProof/>
                </w:rPr>
                <w:lastRenderedPageBreak/>
                <w:t xml:space="preserve">European Commission. (2018). </w:t>
              </w:r>
              <w:r>
                <w:rPr>
                  <w:i/>
                  <w:iCs/>
                  <w:noProof/>
                </w:rPr>
                <w:t>EU data protection rules</w:t>
              </w:r>
              <w:r>
                <w:rPr>
                  <w:noProof/>
                </w:rPr>
                <w:t>. Retrieved from European Commission: https://ec.europa.eu/info/law/law-topic/data-protection/eu-data-protection-rules_en</w:t>
              </w:r>
            </w:p>
            <w:p w14:paraId="7C3AA094" w14:textId="77777777" w:rsidR="00A95CFA" w:rsidRDefault="00A95CFA" w:rsidP="00A95CFA">
              <w:pPr>
                <w:pStyle w:val="Bibliography"/>
                <w:ind w:left="720" w:hanging="720"/>
                <w:rPr>
                  <w:noProof/>
                </w:rPr>
              </w:pPr>
              <w:r>
                <w:rPr>
                  <w:noProof/>
                </w:rPr>
                <w:t xml:space="preserve">Giovanni Colavizza, I. H. (2020). The citation advantage of linking publications to research data. </w:t>
              </w:r>
              <w:r>
                <w:rPr>
                  <w:i/>
                  <w:iCs/>
                  <w:noProof/>
                </w:rPr>
                <w:t>PLOS ONE</w:t>
              </w:r>
              <w:r>
                <w:rPr>
                  <w:noProof/>
                </w:rPr>
                <w:t>, 1-18. doi:https://doi.org/10.1371/journal.pone.0230416</w:t>
              </w:r>
            </w:p>
            <w:p w14:paraId="702F3F21" w14:textId="77777777" w:rsidR="00A95CFA" w:rsidRDefault="00A95CFA" w:rsidP="00A95CFA">
              <w:pPr>
                <w:pStyle w:val="Bibliography"/>
                <w:ind w:left="720" w:hanging="720"/>
                <w:rPr>
                  <w:noProof/>
                </w:rPr>
              </w:pPr>
              <w:r>
                <w:rPr>
                  <w:noProof/>
                </w:rPr>
                <w:t xml:space="preserve">Hahnel, M. (2014, 10 21). </w:t>
              </w:r>
              <w:r>
                <w:rPr>
                  <w:i/>
                  <w:iCs/>
                  <w:noProof/>
                </w:rPr>
                <w:t>figshare new features - Get DOI or private sharing link</w:t>
              </w:r>
              <w:r>
                <w:rPr>
                  <w:noProof/>
                </w:rPr>
                <w:t>. Retrieved from Figshare: https://figshare.com/blog/figshare_new_features_Get_DOI_or_private_sharing_link/135</w:t>
              </w:r>
            </w:p>
            <w:p w14:paraId="5F95CE72" w14:textId="77777777" w:rsidR="00A95CFA" w:rsidRDefault="00A95CFA" w:rsidP="00A95CFA">
              <w:pPr>
                <w:pStyle w:val="Bibliography"/>
                <w:ind w:left="720" w:hanging="720"/>
                <w:rPr>
                  <w:noProof/>
                </w:rPr>
              </w:pPr>
              <w:r>
                <w:rPr>
                  <w:noProof/>
                </w:rPr>
                <w:t xml:space="preserve">Informa UK LTD. (n.d.). </w:t>
              </w:r>
              <w:r>
                <w:rPr>
                  <w:i/>
                  <w:iCs/>
                  <w:noProof/>
                </w:rPr>
                <w:t>Cogent who we are</w:t>
              </w:r>
              <w:r>
                <w:rPr>
                  <w:noProof/>
                </w:rPr>
                <w:t>. Retrieved 2021, from Cogent: http://www.cogentoa.com/who-we-are</w:t>
              </w:r>
            </w:p>
            <w:p w14:paraId="111DD631" w14:textId="77777777" w:rsidR="00A95CFA" w:rsidRDefault="00A95CFA" w:rsidP="00A95CFA">
              <w:pPr>
                <w:pStyle w:val="Bibliography"/>
                <w:ind w:left="720" w:hanging="720"/>
                <w:rPr>
                  <w:noProof/>
                </w:rPr>
              </w:pPr>
              <w:r>
                <w:rPr>
                  <w:noProof/>
                </w:rPr>
                <w:t xml:space="preserve">Informa UK LTD. (n.d.). </w:t>
              </w:r>
              <w:r>
                <w:rPr>
                  <w:i/>
                  <w:iCs/>
                  <w:noProof/>
                </w:rPr>
                <w:t>Understanding our data sharing policies</w:t>
              </w:r>
              <w:r>
                <w:rPr>
                  <w:noProof/>
                </w:rPr>
                <w:t>. Retrieved from Author Services, supporting Taylor &amp; Francis authors: https://authorservices.taylorandfrancis.com/data-sharing-policies/</w:t>
              </w:r>
            </w:p>
            <w:p w14:paraId="40AEC30F" w14:textId="77777777" w:rsidR="00A95CFA" w:rsidRDefault="00A95CFA" w:rsidP="00A95CFA">
              <w:pPr>
                <w:pStyle w:val="Bibliography"/>
                <w:ind w:left="720" w:hanging="720"/>
                <w:rPr>
                  <w:noProof/>
                </w:rPr>
              </w:pPr>
              <w:r>
                <w:rPr>
                  <w:noProof/>
                </w:rPr>
                <w:t xml:space="preserve">Jones, L. R. (2019). Implementing Publisher Policies That Inform, Support and Encourage Authors to Share Data: Two Case Studies. </w:t>
              </w:r>
              <w:r>
                <w:rPr>
                  <w:i/>
                  <w:iCs/>
                  <w:noProof/>
                </w:rPr>
                <w:t>Insights, 32</w:t>
              </w:r>
              <w:r>
                <w:rPr>
                  <w:noProof/>
                </w:rPr>
                <w:t>, 1-11. doi:http://doi.org/10.1629/uksg.463</w:t>
              </w:r>
            </w:p>
            <w:p w14:paraId="0B7DE534" w14:textId="77777777" w:rsidR="00A95CFA" w:rsidRDefault="00A95CFA" w:rsidP="00A95CFA">
              <w:pPr>
                <w:pStyle w:val="Bibliography"/>
                <w:ind w:left="720" w:hanging="720"/>
                <w:rPr>
                  <w:noProof/>
                </w:rPr>
              </w:pPr>
              <w:r>
                <w:rPr>
                  <w:noProof/>
                </w:rPr>
                <w:t xml:space="preserve">NASA. (n.d.). </w:t>
              </w:r>
              <w:r>
                <w:rPr>
                  <w:i/>
                  <w:iCs/>
                  <w:noProof/>
                </w:rPr>
                <w:t>National Space Science Data Center</w:t>
              </w:r>
              <w:r>
                <w:rPr>
                  <w:noProof/>
                </w:rPr>
                <w:t>. Retrieved from NASA Science: https://science.nasa.gov/national-space-science-data-center</w:t>
              </w:r>
            </w:p>
            <w:p w14:paraId="77CEABB1" w14:textId="77777777" w:rsidR="00A95CFA" w:rsidRDefault="00A95CFA" w:rsidP="00A95CFA">
              <w:pPr>
                <w:pStyle w:val="Bibliography"/>
                <w:ind w:left="720" w:hanging="720"/>
                <w:rPr>
                  <w:noProof/>
                </w:rPr>
              </w:pPr>
              <w:r>
                <w:rPr>
                  <w:noProof/>
                </w:rPr>
                <w:t xml:space="preserve">OASPA. (n.d.). </w:t>
              </w:r>
              <w:r>
                <w:rPr>
                  <w:i/>
                  <w:iCs/>
                  <w:noProof/>
                </w:rPr>
                <w:t>Open Access Scholarly Publishers Association</w:t>
              </w:r>
              <w:r>
                <w:rPr>
                  <w:noProof/>
                </w:rPr>
                <w:t>. Retrieved from https://oaspa.org/</w:t>
              </w:r>
            </w:p>
            <w:p w14:paraId="4E9DA128" w14:textId="77777777" w:rsidR="00A95CFA" w:rsidRDefault="00A95CFA" w:rsidP="00A95CFA">
              <w:pPr>
                <w:pStyle w:val="Bibliography"/>
                <w:ind w:left="720" w:hanging="720"/>
                <w:rPr>
                  <w:noProof/>
                </w:rPr>
              </w:pPr>
              <w:r>
                <w:rPr>
                  <w:noProof/>
                </w:rPr>
                <w:t>Research Data Alliance. (n.d.). Retrieved from https://www.rd-alliance.org/</w:t>
              </w:r>
            </w:p>
            <w:p w14:paraId="103C5F1D" w14:textId="77777777" w:rsidR="00A95CFA" w:rsidRDefault="00A95CFA" w:rsidP="00A95CFA">
              <w:pPr>
                <w:pStyle w:val="Bibliography"/>
                <w:ind w:left="720" w:hanging="720"/>
                <w:rPr>
                  <w:noProof/>
                </w:rPr>
              </w:pPr>
              <w:r>
                <w:rPr>
                  <w:noProof/>
                </w:rPr>
                <w:t xml:space="preserve">Science Technical Medical Association. (n.d.). </w:t>
              </w:r>
              <w:r>
                <w:rPr>
                  <w:i/>
                  <w:iCs/>
                  <w:noProof/>
                </w:rPr>
                <w:t>STM-assoc</w:t>
              </w:r>
              <w:r>
                <w:rPr>
                  <w:noProof/>
                </w:rPr>
                <w:t>. Retrieved from https://www.stm-assoc.org/</w:t>
              </w:r>
            </w:p>
            <w:p w14:paraId="77199E5E" w14:textId="77777777" w:rsidR="00A95CFA" w:rsidRDefault="00A95CFA" w:rsidP="00A95CFA">
              <w:pPr>
                <w:pStyle w:val="Bibliography"/>
                <w:ind w:left="720" w:hanging="720"/>
                <w:rPr>
                  <w:noProof/>
                </w:rPr>
              </w:pPr>
              <w:r>
                <w:rPr>
                  <w:noProof/>
                </w:rPr>
                <w:t xml:space="preserve">Vines, T. (2018). </w:t>
              </w:r>
              <w:r>
                <w:rPr>
                  <w:i/>
                  <w:iCs/>
                  <w:noProof/>
                </w:rPr>
                <w:t>Does Adopting a Strict Data Sharing Policy Affect Submissions?</w:t>
              </w:r>
              <w:r>
                <w:rPr>
                  <w:noProof/>
                </w:rPr>
                <w:t xml:space="preserve"> Retrieved from The Scholarly Kitchen: https://scholarlykitchen.sspnet.org/2018/09/25/does-adopting-a-strict-data-sharing-policy-affect-submissions/</w:t>
              </w:r>
            </w:p>
            <w:p w14:paraId="2CDD7D40" w14:textId="77777777" w:rsidR="00A95CFA" w:rsidRDefault="00A95CFA" w:rsidP="00A95CFA">
              <w:pPr>
                <w:pStyle w:val="Bibliography"/>
                <w:ind w:left="720" w:hanging="720"/>
                <w:rPr>
                  <w:noProof/>
                </w:rPr>
              </w:pPr>
              <w:r>
                <w:rPr>
                  <w:noProof/>
                </w:rPr>
                <w:t xml:space="preserve">Wilkinson, M. D. (2016). The FAIR Guiding Principles for scientific data management and stewardship. </w:t>
              </w:r>
              <w:r>
                <w:rPr>
                  <w:i/>
                  <w:iCs/>
                  <w:noProof/>
                </w:rPr>
                <w:t>Scientific Data, 3</w:t>
              </w:r>
              <w:r>
                <w:rPr>
                  <w:noProof/>
                </w:rPr>
                <w:t>, 1-9. doi:https://doi.org/10.1038/sdata.2016.18</w:t>
              </w:r>
            </w:p>
            <w:p w14:paraId="08E7F535" w14:textId="59A5D699" w:rsidR="00240C74" w:rsidRDefault="00240C74" w:rsidP="00A95CFA">
              <w:r>
                <w:rPr>
                  <w:b/>
                  <w:bCs/>
                  <w:noProof/>
                </w:rPr>
                <w:fldChar w:fldCharType="end"/>
              </w:r>
            </w:p>
          </w:sdtContent>
        </w:sdt>
      </w:sdtContent>
    </w:sdt>
    <w:p w14:paraId="04FC0DD1" w14:textId="77777777" w:rsidR="009A7DE1" w:rsidRDefault="009A7DE1"/>
    <w:sectPr w:rsidR="009A7DE1">
      <w:footerReference w:type="default" r:id="rId2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33893B" w14:textId="77777777" w:rsidR="00FD6151" w:rsidRDefault="00FD6151" w:rsidP="009A7DE1">
      <w:pPr>
        <w:spacing w:after="0" w:line="240" w:lineRule="auto"/>
      </w:pPr>
      <w:r>
        <w:separator/>
      </w:r>
    </w:p>
  </w:endnote>
  <w:endnote w:type="continuationSeparator" w:id="0">
    <w:p w14:paraId="0BEF25C0" w14:textId="77777777" w:rsidR="00FD6151" w:rsidRDefault="00FD6151" w:rsidP="009A7DE1">
      <w:pPr>
        <w:spacing w:after="0" w:line="240" w:lineRule="auto"/>
      </w:pPr>
      <w:r>
        <w:continuationSeparator/>
      </w:r>
    </w:p>
  </w:endnote>
  <w:endnote w:type="continuationNotice" w:id="1">
    <w:p w14:paraId="296B0228" w14:textId="77777777" w:rsidR="00FD6151" w:rsidRDefault="00FD61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Roboto">
    <w:panose1 w:val="02000000000000000000"/>
    <w:charset w:val="00"/>
    <w:family w:val="auto"/>
    <w:pitch w:val="variable"/>
    <w:sig w:usb0="E0000AFF" w:usb1="5000217F" w:usb2="00000021" w:usb3="00000000" w:csb0="0000019F" w:csb1="00000000"/>
  </w:font>
  <w:font w:name="Helvetica">
    <w:panose1 w:val="020B0604020202020204"/>
    <w:charset w:val="00"/>
    <w:family w:val="swiss"/>
    <w:pitch w:val="variable"/>
    <w:sig w:usb0="E0002EFF" w:usb1="C000785B" w:usb2="00000009" w:usb3="00000000" w:csb0="000001FF" w:csb1="00000000"/>
  </w:font>
  <w:font w:name="Rockwell">
    <w:panose1 w:val="02060603020205020403"/>
    <w:charset w:val="00"/>
    <w:family w:val="roman"/>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2C4013" w14:textId="330D504F" w:rsidR="009A7DE1" w:rsidRDefault="009A7DE1">
    <w:pPr>
      <w:pStyle w:val="Footer"/>
    </w:pPr>
    <w:r>
      <w:rPr>
        <w:noProof/>
      </w:rPr>
      <mc:AlternateContent>
        <mc:Choice Requires="wps">
          <w:drawing>
            <wp:anchor distT="0" distB="0" distL="114300" distR="114300" simplePos="0" relativeHeight="251657216" behindDoc="0" locked="0" layoutInCell="0" allowOverlap="1" wp14:anchorId="20CEB11B" wp14:editId="1FF642BB">
              <wp:simplePos x="0" y="0"/>
              <wp:positionH relativeFrom="page">
                <wp:posOffset>0</wp:posOffset>
              </wp:positionH>
              <wp:positionV relativeFrom="page">
                <wp:posOffset>10234930</wp:posOffset>
              </wp:positionV>
              <wp:extent cx="7560310" cy="266700"/>
              <wp:effectExtent l="0" t="0" r="0" b="0"/>
              <wp:wrapNone/>
              <wp:docPr id="1" name="MSIPCMe36e4b08aec6f08b8979ce95" descr="{&quot;HashCode&quot;:1561593418,&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969B75A" w14:textId="1FA32F76" w:rsidR="009A7DE1" w:rsidRPr="009A7DE1" w:rsidRDefault="009A7DE1" w:rsidP="009A7DE1">
                          <w:pPr>
                            <w:spacing w:after="0"/>
                            <w:rPr>
                              <w:rFonts w:ascii="Rockwell" w:hAnsi="Rockwell"/>
                              <w:color w:val="0078D7"/>
                              <w:sz w:val="18"/>
                            </w:rPr>
                          </w:pPr>
                          <w:r w:rsidRPr="009A7DE1">
                            <w:rPr>
                              <w:rFonts w:ascii="Rockwell" w:hAnsi="Rockwell"/>
                              <w:color w:val="0078D7"/>
                              <w:sz w:val="18"/>
                            </w:rPr>
                            <w:t>Information Classification: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0CEB11B" id="_x0000_t202" coordsize="21600,21600" o:spt="202" path="m,l,21600r21600,l21600,xe">
              <v:stroke joinstyle="miter"/>
              <v:path gradientshapeok="t" o:connecttype="rect"/>
            </v:shapetype>
            <v:shape id="MSIPCMe36e4b08aec6f08b8979ce95" o:spid="_x0000_s1026" type="#_x0000_t202" alt="{&quot;HashCode&quot;:1561593418,&quot;Height&quot;:841.0,&quot;Width&quot;:595.0,&quot;Placement&quot;:&quot;Footer&quot;,&quot;Index&quot;:&quot;Primary&quot;,&quot;Section&quot;:1,&quot;Top&quot;:0.0,&quot;Left&quot;:0.0}" style="position:absolute;margin-left:0;margin-top:805.9pt;width:595.3pt;height:21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" o:allowincell="f" filled="f" stroked="f" strokeweight=".5pt">
              <v:textbox inset="20pt,0,,0">
                <w:txbxContent>
                  <w:p w14:paraId="0969B75A" w14:textId="1FA32F76" w:rsidR="009A7DE1" w:rsidRPr="009A7DE1" w:rsidRDefault="009A7DE1" w:rsidP="009A7DE1">
                    <w:pPr>
                      <w:spacing w:after="0"/>
                      <w:rPr>
                        <w:rFonts w:ascii="Rockwell" w:hAnsi="Rockwell"/>
                        <w:color w:val="0078D7"/>
                        <w:sz w:val="18"/>
                      </w:rPr>
                    </w:pPr>
                    <w:r w:rsidRPr="009A7DE1">
                      <w:rPr>
                        <w:rFonts w:ascii="Rockwell" w:hAnsi="Rockwell"/>
                        <w:color w:val="0078D7"/>
                        <w:sz w:val="18"/>
                      </w:rPr>
                      <w:t>Information Classification: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4D643C" w14:textId="77777777" w:rsidR="00FD6151" w:rsidRDefault="00FD6151" w:rsidP="009A7DE1">
      <w:pPr>
        <w:spacing w:after="0" w:line="240" w:lineRule="auto"/>
      </w:pPr>
      <w:r>
        <w:separator/>
      </w:r>
    </w:p>
  </w:footnote>
  <w:footnote w:type="continuationSeparator" w:id="0">
    <w:p w14:paraId="12738AF4" w14:textId="77777777" w:rsidR="00FD6151" w:rsidRDefault="00FD6151" w:rsidP="009A7DE1">
      <w:pPr>
        <w:spacing w:after="0" w:line="240" w:lineRule="auto"/>
      </w:pPr>
      <w:r>
        <w:continuationSeparator/>
      </w:r>
    </w:p>
  </w:footnote>
  <w:footnote w:type="continuationNotice" w:id="1">
    <w:p w14:paraId="0AB9C94F" w14:textId="77777777" w:rsidR="00FD6151" w:rsidRDefault="00FD615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4D75BA"/>
    <w:multiLevelType w:val="hybridMultilevel"/>
    <w:tmpl w:val="5CB4BF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CB872FE"/>
    <w:multiLevelType w:val="multilevel"/>
    <w:tmpl w:val="A71669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62813ED"/>
    <w:multiLevelType w:val="hybridMultilevel"/>
    <w:tmpl w:val="6358AC26"/>
    <w:lvl w:ilvl="0" w:tplc="A0D2356A">
      <w:start w:val="1"/>
      <w:numFmt w:val="bullet"/>
      <w:lvlText w:val=""/>
      <w:lvlJc w:val="left"/>
      <w:pPr>
        <w:ind w:left="720" w:hanging="360"/>
      </w:pPr>
      <w:rPr>
        <w:rFonts w:ascii="Symbol" w:hAnsi="Symbol" w:hint="default"/>
      </w:rPr>
    </w:lvl>
    <w:lvl w:ilvl="1" w:tplc="7CE2461C">
      <w:start w:val="1"/>
      <w:numFmt w:val="bullet"/>
      <w:lvlText w:val="o"/>
      <w:lvlJc w:val="left"/>
      <w:pPr>
        <w:ind w:left="1440" w:hanging="360"/>
      </w:pPr>
      <w:rPr>
        <w:rFonts w:ascii="Courier New" w:hAnsi="Courier New" w:hint="default"/>
      </w:rPr>
    </w:lvl>
    <w:lvl w:ilvl="2" w:tplc="F44819E6">
      <w:start w:val="1"/>
      <w:numFmt w:val="bullet"/>
      <w:lvlText w:val=""/>
      <w:lvlJc w:val="left"/>
      <w:pPr>
        <w:ind w:left="2160" w:hanging="360"/>
      </w:pPr>
      <w:rPr>
        <w:rFonts w:ascii="Wingdings" w:hAnsi="Wingdings" w:hint="default"/>
      </w:rPr>
    </w:lvl>
    <w:lvl w:ilvl="3" w:tplc="F5EE450E">
      <w:start w:val="1"/>
      <w:numFmt w:val="bullet"/>
      <w:lvlText w:val=""/>
      <w:lvlJc w:val="left"/>
      <w:pPr>
        <w:ind w:left="2880" w:hanging="360"/>
      </w:pPr>
      <w:rPr>
        <w:rFonts w:ascii="Symbol" w:hAnsi="Symbol" w:hint="default"/>
      </w:rPr>
    </w:lvl>
    <w:lvl w:ilvl="4" w:tplc="9362C290">
      <w:start w:val="1"/>
      <w:numFmt w:val="bullet"/>
      <w:lvlText w:val="o"/>
      <w:lvlJc w:val="left"/>
      <w:pPr>
        <w:ind w:left="3600" w:hanging="360"/>
      </w:pPr>
      <w:rPr>
        <w:rFonts w:ascii="Courier New" w:hAnsi="Courier New" w:hint="default"/>
      </w:rPr>
    </w:lvl>
    <w:lvl w:ilvl="5" w:tplc="9238D42C">
      <w:start w:val="1"/>
      <w:numFmt w:val="bullet"/>
      <w:lvlText w:val=""/>
      <w:lvlJc w:val="left"/>
      <w:pPr>
        <w:ind w:left="4320" w:hanging="360"/>
      </w:pPr>
      <w:rPr>
        <w:rFonts w:ascii="Wingdings" w:hAnsi="Wingdings" w:hint="default"/>
      </w:rPr>
    </w:lvl>
    <w:lvl w:ilvl="6" w:tplc="4CF82B9E">
      <w:start w:val="1"/>
      <w:numFmt w:val="bullet"/>
      <w:lvlText w:val=""/>
      <w:lvlJc w:val="left"/>
      <w:pPr>
        <w:ind w:left="5040" w:hanging="360"/>
      </w:pPr>
      <w:rPr>
        <w:rFonts w:ascii="Symbol" w:hAnsi="Symbol" w:hint="default"/>
      </w:rPr>
    </w:lvl>
    <w:lvl w:ilvl="7" w:tplc="9E8E2238">
      <w:start w:val="1"/>
      <w:numFmt w:val="bullet"/>
      <w:lvlText w:val="o"/>
      <w:lvlJc w:val="left"/>
      <w:pPr>
        <w:ind w:left="5760" w:hanging="360"/>
      </w:pPr>
      <w:rPr>
        <w:rFonts w:ascii="Courier New" w:hAnsi="Courier New" w:hint="default"/>
      </w:rPr>
    </w:lvl>
    <w:lvl w:ilvl="8" w:tplc="3A0658F2">
      <w:start w:val="1"/>
      <w:numFmt w:val="bullet"/>
      <w:lvlText w:val=""/>
      <w:lvlJc w:val="left"/>
      <w:pPr>
        <w:ind w:left="6480" w:hanging="360"/>
      </w:pPr>
      <w:rPr>
        <w:rFonts w:ascii="Wingdings" w:hAnsi="Wingdings" w:hint="default"/>
      </w:rPr>
    </w:lvl>
  </w:abstractNum>
  <w:abstractNum w:abstractNumId="3" w15:restartNumberingAfterBreak="0">
    <w:nsid w:val="28864890"/>
    <w:multiLevelType w:val="hybridMultilevel"/>
    <w:tmpl w:val="E8B866D2"/>
    <w:lvl w:ilvl="0" w:tplc="D1C40084">
      <w:numFmt w:val="bullet"/>
      <w:lvlText w:val=""/>
      <w:lvlJc w:val="left"/>
      <w:pPr>
        <w:ind w:left="720" w:hanging="360"/>
      </w:pPr>
      <w:rPr>
        <w:rFonts w:ascii="Symbol" w:eastAsiaTheme="minorHAnsi" w:hAnsi="Symbol" w:cstheme="minorBidi"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5E254C1"/>
    <w:multiLevelType w:val="hybridMultilevel"/>
    <w:tmpl w:val="57802F10"/>
    <w:lvl w:ilvl="0" w:tplc="0809000F">
      <w:start w:val="1"/>
      <w:numFmt w:val="decimal"/>
      <w:lvlText w:val="%1."/>
      <w:lvlJc w:val="left"/>
      <w:pPr>
        <w:ind w:left="2880" w:hanging="360"/>
      </w:pPr>
    </w:lvl>
    <w:lvl w:ilvl="1" w:tplc="08090019" w:tentative="1">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5" w15:restartNumberingAfterBreak="0">
    <w:nsid w:val="49D6646F"/>
    <w:multiLevelType w:val="hybridMultilevel"/>
    <w:tmpl w:val="6F349DFE"/>
    <w:lvl w:ilvl="0" w:tplc="B78C0D24">
      <w:start w:val="1"/>
      <w:numFmt w:val="bullet"/>
      <w:lvlText w:val=""/>
      <w:lvlJc w:val="left"/>
      <w:pPr>
        <w:ind w:left="720" w:hanging="360"/>
      </w:pPr>
      <w:rPr>
        <w:rFonts w:ascii="Symbol" w:hAnsi="Symbol" w:hint="default"/>
      </w:rPr>
    </w:lvl>
    <w:lvl w:ilvl="1" w:tplc="8E1C4D34">
      <w:start w:val="1"/>
      <w:numFmt w:val="bullet"/>
      <w:lvlText w:val="o"/>
      <w:lvlJc w:val="left"/>
      <w:pPr>
        <w:ind w:left="1440" w:hanging="360"/>
      </w:pPr>
      <w:rPr>
        <w:rFonts w:ascii="Courier New" w:hAnsi="Courier New" w:hint="default"/>
      </w:rPr>
    </w:lvl>
    <w:lvl w:ilvl="2" w:tplc="4CFE39D4">
      <w:start w:val="1"/>
      <w:numFmt w:val="bullet"/>
      <w:lvlText w:val=""/>
      <w:lvlJc w:val="left"/>
      <w:pPr>
        <w:ind w:left="2160" w:hanging="360"/>
      </w:pPr>
      <w:rPr>
        <w:rFonts w:ascii="Wingdings" w:hAnsi="Wingdings" w:hint="default"/>
      </w:rPr>
    </w:lvl>
    <w:lvl w:ilvl="3" w:tplc="F6CA2E5E">
      <w:start w:val="1"/>
      <w:numFmt w:val="bullet"/>
      <w:lvlText w:val=""/>
      <w:lvlJc w:val="left"/>
      <w:pPr>
        <w:ind w:left="2880" w:hanging="360"/>
      </w:pPr>
      <w:rPr>
        <w:rFonts w:ascii="Symbol" w:hAnsi="Symbol" w:hint="default"/>
      </w:rPr>
    </w:lvl>
    <w:lvl w:ilvl="4" w:tplc="1D14F3BC">
      <w:start w:val="1"/>
      <w:numFmt w:val="bullet"/>
      <w:lvlText w:val="o"/>
      <w:lvlJc w:val="left"/>
      <w:pPr>
        <w:ind w:left="3600" w:hanging="360"/>
      </w:pPr>
      <w:rPr>
        <w:rFonts w:ascii="Courier New" w:hAnsi="Courier New" w:hint="default"/>
      </w:rPr>
    </w:lvl>
    <w:lvl w:ilvl="5" w:tplc="36E4147A">
      <w:start w:val="1"/>
      <w:numFmt w:val="bullet"/>
      <w:lvlText w:val=""/>
      <w:lvlJc w:val="left"/>
      <w:pPr>
        <w:ind w:left="4320" w:hanging="360"/>
      </w:pPr>
      <w:rPr>
        <w:rFonts w:ascii="Wingdings" w:hAnsi="Wingdings" w:hint="default"/>
      </w:rPr>
    </w:lvl>
    <w:lvl w:ilvl="6" w:tplc="05B8C46E">
      <w:start w:val="1"/>
      <w:numFmt w:val="bullet"/>
      <w:lvlText w:val=""/>
      <w:lvlJc w:val="left"/>
      <w:pPr>
        <w:ind w:left="5040" w:hanging="360"/>
      </w:pPr>
      <w:rPr>
        <w:rFonts w:ascii="Symbol" w:hAnsi="Symbol" w:hint="default"/>
      </w:rPr>
    </w:lvl>
    <w:lvl w:ilvl="7" w:tplc="4A70253E">
      <w:start w:val="1"/>
      <w:numFmt w:val="bullet"/>
      <w:lvlText w:val="o"/>
      <w:lvlJc w:val="left"/>
      <w:pPr>
        <w:ind w:left="5760" w:hanging="360"/>
      </w:pPr>
      <w:rPr>
        <w:rFonts w:ascii="Courier New" w:hAnsi="Courier New" w:hint="default"/>
      </w:rPr>
    </w:lvl>
    <w:lvl w:ilvl="8" w:tplc="2752FFF4">
      <w:start w:val="1"/>
      <w:numFmt w:val="bullet"/>
      <w:lvlText w:val=""/>
      <w:lvlJc w:val="left"/>
      <w:pPr>
        <w:ind w:left="6480" w:hanging="360"/>
      </w:pPr>
      <w:rPr>
        <w:rFonts w:ascii="Wingdings" w:hAnsi="Wingdings" w:hint="default"/>
      </w:rPr>
    </w:lvl>
  </w:abstractNum>
  <w:abstractNum w:abstractNumId="6" w15:restartNumberingAfterBreak="0">
    <w:nsid w:val="64816867"/>
    <w:multiLevelType w:val="hybridMultilevel"/>
    <w:tmpl w:val="1562C0E6"/>
    <w:lvl w:ilvl="0" w:tplc="D1C40084">
      <w:numFmt w:val="bullet"/>
      <w:lvlText w:val=""/>
      <w:lvlJc w:val="left"/>
      <w:pPr>
        <w:ind w:left="720" w:hanging="360"/>
      </w:pPr>
      <w:rPr>
        <w:rFonts w:ascii="Symbol" w:eastAsiaTheme="minorHAnsi"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3A14B80"/>
    <w:multiLevelType w:val="hybridMultilevel"/>
    <w:tmpl w:val="55CC03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5"/>
  </w:num>
  <w:num w:numId="3">
    <w:abstractNumId w:val="6"/>
  </w:num>
  <w:num w:numId="4">
    <w:abstractNumId w:val="7"/>
  </w:num>
  <w:num w:numId="5">
    <w:abstractNumId w:val="4"/>
  </w:num>
  <w:num w:numId="6">
    <w:abstractNumId w:val="3"/>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DE1"/>
    <w:rsid w:val="0000489C"/>
    <w:rsid w:val="00010B1B"/>
    <w:rsid w:val="00012CDD"/>
    <w:rsid w:val="0001432B"/>
    <w:rsid w:val="00015D60"/>
    <w:rsid w:val="0001715A"/>
    <w:rsid w:val="00017543"/>
    <w:rsid w:val="000177D5"/>
    <w:rsid w:val="0002248F"/>
    <w:rsid w:val="00023E2C"/>
    <w:rsid w:val="00026A3D"/>
    <w:rsid w:val="00026F83"/>
    <w:rsid w:val="0003457A"/>
    <w:rsid w:val="000349E8"/>
    <w:rsid w:val="000459D2"/>
    <w:rsid w:val="000500DC"/>
    <w:rsid w:val="00051B20"/>
    <w:rsid w:val="00052774"/>
    <w:rsid w:val="00057696"/>
    <w:rsid w:val="00060D4A"/>
    <w:rsid w:val="00061E37"/>
    <w:rsid w:val="00063005"/>
    <w:rsid w:val="000725B9"/>
    <w:rsid w:val="00072AC1"/>
    <w:rsid w:val="00073A80"/>
    <w:rsid w:val="00073EAD"/>
    <w:rsid w:val="00075331"/>
    <w:rsid w:val="000773DE"/>
    <w:rsid w:val="000811A8"/>
    <w:rsid w:val="0008333F"/>
    <w:rsid w:val="00085D79"/>
    <w:rsid w:val="000865F9"/>
    <w:rsid w:val="00087E71"/>
    <w:rsid w:val="000937AB"/>
    <w:rsid w:val="000A0D3D"/>
    <w:rsid w:val="000A125B"/>
    <w:rsid w:val="000A1D20"/>
    <w:rsid w:val="000A2824"/>
    <w:rsid w:val="000A7661"/>
    <w:rsid w:val="000B11BA"/>
    <w:rsid w:val="000B34D0"/>
    <w:rsid w:val="000B3F9E"/>
    <w:rsid w:val="000B4608"/>
    <w:rsid w:val="000B7F16"/>
    <w:rsid w:val="000C0117"/>
    <w:rsid w:val="000C08D6"/>
    <w:rsid w:val="000C4138"/>
    <w:rsid w:val="000C7B85"/>
    <w:rsid w:val="000D1C51"/>
    <w:rsid w:val="000D4FE6"/>
    <w:rsid w:val="000E1191"/>
    <w:rsid w:val="000F4859"/>
    <w:rsid w:val="000F5DDB"/>
    <w:rsid w:val="001036DB"/>
    <w:rsid w:val="001044DC"/>
    <w:rsid w:val="001067E0"/>
    <w:rsid w:val="00107D44"/>
    <w:rsid w:val="0011054D"/>
    <w:rsid w:val="00113621"/>
    <w:rsid w:val="00114B7C"/>
    <w:rsid w:val="00115495"/>
    <w:rsid w:val="00126E39"/>
    <w:rsid w:val="00136980"/>
    <w:rsid w:val="00137134"/>
    <w:rsid w:val="00140831"/>
    <w:rsid w:val="00142ECB"/>
    <w:rsid w:val="001502CE"/>
    <w:rsid w:val="00151B15"/>
    <w:rsid w:val="00153032"/>
    <w:rsid w:val="0015388F"/>
    <w:rsid w:val="001553D8"/>
    <w:rsid w:val="00155B22"/>
    <w:rsid w:val="00160F62"/>
    <w:rsid w:val="001630E0"/>
    <w:rsid w:val="00177119"/>
    <w:rsid w:val="001851CF"/>
    <w:rsid w:val="00186F2B"/>
    <w:rsid w:val="0018D329"/>
    <w:rsid w:val="0019124D"/>
    <w:rsid w:val="00195768"/>
    <w:rsid w:val="001B2F9B"/>
    <w:rsid w:val="001B5982"/>
    <w:rsid w:val="001B5FB7"/>
    <w:rsid w:val="001B629F"/>
    <w:rsid w:val="001C31D5"/>
    <w:rsid w:val="001C4F16"/>
    <w:rsid w:val="001C5939"/>
    <w:rsid w:val="001D16C7"/>
    <w:rsid w:val="001D21D8"/>
    <w:rsid w:val="001D3332"/>
    <w:rsid w:val="001D3BF2"/>
    <w:rsid w:val="001D7736"/>
    <w:rsid w:val="001E0D3D"/>
    <w:rsid w:val="001F0CE0"/>
    <w:rsid w:val="001F2666"/>
    <w:rsid w:val="001F275C"/>
    <w:rsid w:val="001F3AA9"/>
    <w:rsid w:val="001F42D5"/>
    <w:rsid w:val="001F77C5"/>
    <w:rsid w:val="0020106D"/>
    <w:rsid w:val="00201207"/>
    <w:rsid w:val="002012E6"/>
    <w:rsid w:val="002047F7"/>
    <w:rsid w:val="002077B6"/>
    <w:rsid w:val="00207C25"/>
    <w:rsid w:val="002139A9"/>
    <w:rsid w:val="00213BC1"/>
    <w:rsid w:val="00213FC3"/>
    <w:rsid w:val="002145FA"/>
    <w:rsid w:val="002175C5"/>
    <w:rsid w:val="00227050"/>
    <w:rsid w:val="0023400B"/>
    <w:rsid w:val="00237C46"/>
    <w:rsid w:val="00240C74"/>
    <w:rsid w:val="00243615"/>
    <w:rsid w:val="00245804"/>
    <w:rsid w:val="00255518"/>
    <w:rsid w:val="00257538"/>
    <w:rsid w:val="002605B9"/>
    <w:rsid w:val="0026321B"/>
    <w:rsid w:val="00263CF2"/>
    <w:rsid w:val="00266FAD"/>
    <w:rsid w:val="0027513C"/>
    <w:rsid w:val="00283713"/>
    <w:rsid w:val="00290510"/>
    <w:rsid w:val="002958B4"/>
    <w:rsid w:val="00297475"/>
    <w:rsid w:val="002A1C72"/>
    <w:rsid w:val="002A4CDA"/>
    <w:rsid w:val="002A6697"/>
    <w:rsid w:val="002A78DB"/>
    <w:rsid w:val="002A7C24"/>
    <w:rsid w:val="002B18FB"/>
    <w:rsid w:val="002B3F49"/>
    <w:rsid w:val="002B6092"/>
    <w:rsid w:val="002C0D97"/>
    <w:rsid w:val="002C28F3"/>
    <w:rsid w:val="002D0E32"/>
    <w:rsid w:val="002D2A6D"/>
    <w:rsid w:val="002E3686"/>
    <w:rsid w:val="002E5565"/>
    <w:rsid w:val="002E6373"/>
    <w:rsid w:val="002E7756"/>
    <w:rsid w:val="002E7770"/>
    <w:rsid w:val="002F456A"/>
    <w:rsid w:val="002F75CC"/>
    <w:rsid w:val="00303DDB"/>
    <w:rsid w:val="0030549E"/>
    <w:rsid w:val="0030562F"/>
    <w:rsid w:val="0031053E"/>
    <w:rsid w:val="003173E5"/>
    <w:rsid w:val="00324B4F"/>
    <w:rsid w:val="003275DD"/>
    <w:rsid w:val="00330B8B"/>
    <w:rsid w:val="00337922"/>
    <w:rsid w:val="00350F16"/>
    <w:rsid w:val="003512FA"/>
    <w:rsid w:val="00352F7D"/>
    <w:rsid w:val="003628D6"/>
    <w:rsid w:val="003637FD"/>
    <w:rsid w:val="00363C93"/>
    <w:rsid w:val="003676BB"/>
    <w:rsid w:val="00373D11"/>
    <w:rsid w:val="003750C9"/>
    <w:rsid w:val="00376B6B"/>
    <w:rsid w:val="00380773"/>
    <w:rsid w:val="00380815"/>
    <w:rsid w:val="0038120C"/>
    <w:rsid w:val="00384C19"/>
    <w:rsid w:val="00394168"/>
    <w:rsid w:val="00394BDC"/>
    <w:rsid w:val="00394E53"/>
    <w:rsid w:val="00395668"/>
    <w:rsid w:val="003A11EF"/>
    <w:rsid w:val="003A607F"/>
    <w:rsid w:val="003A734E"/>
    <w:rsid w:val="003A87C9"/>
    <w:rsid w:val="003B4A91"/>
    <w:rsid w:val="003B5A86"/>
    <w:rsid w:val="003B6657"/>
    <w:rsid w:val="003B742A"/>
    <w:rsid w:val="003C6099"/>
    <w:rsid w:val="003C6D9D"/>
    <w:rsid w:val="003D02B2"/>
    <w:rsid w:val="003D0376"/>
    <w:rsid w:val="003D1459"/>
    <w:rsid w:val="003D2FA1"/>
    <w:rsid w:val="003D5574"/>
    <w:rsid w:val="003E0055"/>
    <w:rsid w:val="003E62CC"/>
    <w:rsid w:val="003E6802"/>
    <w:rsid w:val="003F40C7"/>
    <w:rsid w:val="00400608"/>
    <w:rsid w:val="00402652"/>
    <w:rsid w:val="00405F4A"/>
    <w:rsid w:val="0040608D"/>
    <w:rsid w:val="00407D25"/>
    <w:rsid w:val="00416014"/>
    <w:rsid w:val="00423AAD"/>
    <w:rsid w:val="004248AA"/>
    <w:rsid w:val="0043020E"/>
    <w:rsid w:val="00432305"/>
    <w:rsid w:val="00432604"/>
    <w:rsid w:val="004366CD"/>
    <w:rsid w:val="00442AC0"/>
    <w:rsid w:val="00446F4B"/>
    <w:rsid w:val="00453DAD"/>
    <w:rsid w:val="00460FEC"/>
    <w:rsid w:val="0046142B"/>
    <w:rsid w:val="0046194C"/>
    <w:rsid w:val="00462C44"/>
    <w:rsid w:val="00463BA1"/>
    <w:rsid w:val="004654E0"/>
    <w:rsid w:val="00466E33"/>
    <w:rsid w:val="00467181"/>
    <w:rsid w:val="00471983"/>
    <w:rsid w:val="004765C7"/>
    <w:rsid w:val="00480C72"/>
    <w:rsid w:val="00485BAD"/>
    <w:rsid w:val="004872C9"/>
    <w:rsid w:val="0049365D"/>
    <w:rsid w:val="004957BD"/>
    <w:rsid w:val="004A08CA"/>
    <w:rsid w:val="004A16AF"/>
    <w:rsid w:val="004A1793"/>
    <w:rsid w:val="004A2C8F"/>
    <w:rsid w:val="004A382C"/>
    <w:rsid w:val="004A6628"/>
    <w:rsid w:val="004B5C74"/>
    <w:rsid w:val="004B7BB3"/>
    <w:rsid w:val="004C0383"/>
    <w:rsid w:val="004C4890"/>
    <w:rsid w:val="004C4E81"/>
    <w:rsid w:val="004D2F5B"/>
    <w:rsid w:val="004D4676"/>
    <w:rsid w:val="004E2289"/>
    <w:rsid w:val="004E62C0"/>
    <w:rsid w:val="00500E15"/>
    <w:rsid w:val="00504FA5"/>
    <w:rsid w:val="005107BD"/>
    <w:rsid w:val="005126E8"/>
    <w:rsid w:val="005150B0"/>
    <w:rsid w:val="00515665"/>
    <w:rsid w:val="00521908"/>
    <w:rsid w:val="00523F93"/>
    <w:rsid w:val="005251F6"/>
    <w:rsid w:val="005257B8"/>
    <w:rsid w:val="0052669F"/>
    <w:rsid w:val="0053394A"/>
    <w:rsid w:val="00542353"/>
    <w:rsid w:val="005431CF"/>
    <w:rsid w:val="00547FB3"/>
    <w:rsid w:val="00554ABA"/>
    <w:rsid w:val="00554C4F"/>
    <w:rsid w:val="00560A4D"/>
    <w:rsid w:val="00561B8A"/>
    <w:rsid w:val="00564DE1"/>
    <w:rsid w:val="00566CF0"/>
    <w:rsid w:val="00572A0C"/>
    <w:rsid w:val="00574C1F"/>
    <w:rsid w:val="00576838"/>
    <w:rsid w:val="00581655"/>
    <w:rsid w:val="005855D9"/>
    <w:rsid w:val="00585E8C"/>
    <w:rsid w:val="005863E5"/>
    <w:rsid w:val="00586626"/>
    <w:rsid w:val="00591CFA"/>
    <w:rsid w:val="005927B7"/>
    <w:rsid w:val="00593912"/>
    <w:rsid w:val="005A0C4C"/>
    <w:rsid w:val="005A11E0"/>
    <w:rsid w:val="005A1FD1"/>
    <w:rsid w:val="005A417F"/>
    <w:rsid w:val="005A4CE5"/>
    <w:rsid w:val="005B168D"/>
    <w:rsid w:val="005B4B1D"/>
    <w:rsid w:val="005C539A"/>
    <w:rsid w:val="005C6581"/>
    <w:rsid w:val="005D46E5"/>
    <w:rsid w:val="005D54C4"/>
    <w:rsid w:val="005D580B"/>
    <w:rsid w:val="005D5D27"/>
    <w:rsid w:val="005D6522"/>
    <w:rsid w:val="005E20F3"/>
    <w:rsid w:val="005E4A48"/>
    <w:rsid w:val="005E6D61"/>
    <w:rsid w:val="005F0C3D"/>
    <w:rsid w:val="005F0F1E"/>
    <w:rsid w:val="005F10FE"/>
    <w:rsid w:val="005F3D4F"/>
    <w:rsid w:val="005F3F78"/>
    <w:rsid w:val="005F67C4"/>
    <w:rsid w:val="005F6FC7"/>
    <w:rsid w:val="0060448C"/>
    <w:rsid w:val="00610F86"/>
    <w:rsid w:val="0061322A"/>
    <w:rsid w:val="0061571D"/>
    <w:rsid w:val="006257E1"/>
    <w:rsid w:val="00634E03"/>
    <w:rsid w:val="00635BE6"/>
    <w:rsid w:val="0063685E"/>
    <w:rsid w:val="0063E6C8"/>
    <w:rsid w:val="0064093A"/>
    <w:rsid w:val="00644A1F"/>
    <w:rsid w:val="00646374"/>
    <w:rsid w:val="006506D5"/>
    <w:rsid w:val="00654AFE"/>
    <w:rsid w:val="00656F67"/>
    <w:rsid w:val="0066099D"/>
    <w:rsid w:val="0066223C"/>
    <w:rsid w:val="00667D03"/>
    <w:rsid w:val="0067223D"/>
    <w:rsid w:val="00673001"/>
    <w:rsid w:val="00677588"/>
    <w:rsid w:val="0068198F"/>
    <w:rsid w:val="00682C8C"/>
    <w:rsid w:val="00685F9F"/>
    <w:rsid w:val="00690E49"/>
    <w:rsid w:val="00694607"/>
    <w:rsid w:val="00697243"/>
    <w:rsid w:val="006A08C1"/>
    <w:rsid w:val="006A0AAD"/>
    <w:rsid w:val="006A1C60"/>
    <w:rsid w:val="006A213D"/>
    <w:rsid w:val="006A5FAE"/>
    <w:rsid w:val="006A6BA4"/>
    <w:rsid w:val="006A7C5F"/>
    <w:rsid w:val="006A7D51"/>
    <w:rsid w:val="006B1A5C"/>
    <w:rsid w:val="006B2424"/>
    <w:rsid w:val="006B2851"/>
    <w:rsid w:val="006B29B9"/>
    <w:rsid w:val="006B334F"/>
    <w:rsid w:val="006B591E"/>
    <w:rsid w:val="006C0374"/>
    <w:rsid w:val="006D1537"/>
    <w:rsid w:val="006D1810"/>
    <w:rsid w:val="006D30CB"/>
    <w:rsid w:val="006E1C2F"/>
    <w:rsid w:val="006E1E8F"/>
    <w:rsid w:val="006E565B"/>
    <w:rsid w:val="006F35AA"/>
    <w:rsid w:val="006F7EF2"/>
    <w:rsid w:val="0070737D"/>
    <w:rsid w:val="00707EA0"/>
    <w:rsid w:val="007126D6"/>
    <w:rsid w:val="007150B3"/>
    <w:rsid w:val="007206A3"/>
    <w:rsid w:val="00724899"/>
    <w:rsid w:val="007269BE"/>
    <w:rsid w:val="00732AA7"/>
    <w:rsid w:val="00734292"/>
    <w:rsid w:val="007343A5"/>
    <w:rsid w:val="00735253"/>
    <w:rsid w:val="00735F0C"/>
    <w:rsid w:val="00741299"/>
    <w:rsid w:val="00743353"/>
    <w:rsid w:val="00743A46"/>
    <w:rsid w:val="00744E73"/>
    <w:rsid w:val="007577F4"/>
    <w:rsid w:val="007618B7"/>
    <w:rsid w:val="00762567"/>
    <w:rsid w:val="0076668C"/>
    <w:rsid w:val="007678ED"/>
    <w:rsid w:val="00770FA0"/>
    <w:rsid w:val="0077177C"/>
    <w:rsid w:val="00773DC9"/>
    <w:rsid w:val="00774564"/>
    <w:rsid w:val="00775716"/>
    <w:rsid w:val="00775C29"/>
    <w:rsid w:val="0078310F"/>
    <w:rsid w:val="00784DC3"/>
    <w:rsid w:val="007869CD"/>
    <w:rsid w:val="0079286F"/>
    <w:rsid w:val="007B3285"/>
    <w:rsid w:val="007C4D3C"/>
    <w:rsid w:val="007D0CA6"/>
    <w:rsid w:val="007D0E45"/>
    <w:rsid w:val="007E2A89"/>
    <w:rsid w:val="007E5A66"/>
    <w:rsid w:val="007F1A6E"/>
    <w:rsid w:val="007F39F5"/>
    <w:rsid w:val="007F3D45"/>
    <w:rsid w:val="007F5860"/>
    <w:rsid w:val="008022A3"/>
    <w:rsid w:val="00806005"/>
    <w:rsid w:val="00810040"/>
    <w:rsid w:val="008110F8"/>
    <w:rsid w:val="008143C9"/>
    <w:rsid w:val="00815C4D"/>
    <w:rsid w:val="00816516"/>
    <w:rsid w:val="008179FD"/>
    <w:rsid w:val="00821E32"/>
    <w:rsid w:val="00823792"/>
    <w:rsid w:val="00833FC8"/>
    <w:rsid w:val="008344DF"/>
    <w:rsid w:val="008449C2"/>
    <w:rsid w:val="0084672E"/>
    <w:rsid w:val="00857011"/>
    <w:rsid w:val="00862205"/>
    <w:rsid w:val="008666B4"/>
    <w:rsid w:val="0087065B"/>
    <w:rsid w:val="00872F26"/>
    <w:rsid w:val="008756CD"/>
    <w:rsid w:val="00881452"/>
    <w:rsid w:val="0088779A"/>
    <w:rsid w:val="008A5CF8"/>
    <w:rsid w:val="008A6E33"/>
    <w:rsid w:val="008B01CF"/>
    <w:rsid w:val="008B0AB9"/>
    <w:rsid w:val="008B1532"/>
    <w:rsid w:val="008B2F28"/>
    <w:rsid w:val="008C5277"/>
    <w:rsid w:val="008D0D5E"/>
    <w:rsid w:val="008D1832"/>
    <w:rsid w:val="008D3F4B"/>
    <w:rsid w:val="008D769B"/>
    <w:rsid w:val="008E7F69"/>
    <w:rsid w:val="008F43D3"/>
    <w:rsid w:val="008F6377"/>
    <w:rsid w:val="008F73E4"/>
    <w:rsid w:val="00902D19"/>
    <w:rsid w:val="00904688"/>
    <w:rsid w:val="00904A86"/>
    <w:rsid w:val="00906881"/>
    <w:rsid w:val="00910148"/>
    <w:rsid w:val="009106F3"/>
    <w:rsid w:val="00914D55"/>
    <w:rsid w:val="00916523"/>
    <w:rsid w:val="009168E5"/>
    <w:rsid w:val="00920C2D"/>
    <w:rsid w:val="00921C89"/>
    <w:rsid w:val="00927232"/>
    <w:rsid w:val="00935D0A"/>
    <w:rsid w:val="00937DDD"/>
    <w:rsid w:val="00940A61"/>
    <w:rsid w:val="00941D17"/>
    <w:rsid w:val="00941DFA"/>
    <w:rsid w:val="009450F9"/>
    <w:rsid w:val="00947B0B"/>
    <w:rsid w:val="0095125A"/>
    <w:rsid w:val="009577CF"/>
    <w:rsid w:val="00960573"/>
    <w:rsid w:val="00962A8B"/>
    <w:rsid w:val="00963AC9"/>
    <w:rsid w:val="00972351"/>
    <w:rsid w:val="00975E9A"/>
    <w:rsid w:val="009779E8"/>
    <w:rsid w:val="00983B61"/>
    <w:rsid w:val="00984941"/>
    <w:rsid w:val="00990071"/>
    <w:rsid w:val="00990726"/>
    <w:rsid w:val="00997EE9"/>
    <w:rsid w:val="009A7DE1"/>
    <w:rsid w:val="009B49DD"/>
    <w:rsid w:val="009C1C92"/>
    <w:rsid w:val="009C1D1B"/>
    <w:rsid w:val="009C3A00"/>
    <w:rsid w:val="009C4E64"/>
    <w:rsid w:val="009C51B6"/>
    <w:rsid w:val="009C7B1C"/>
    <w:rsid w:val="009D572B"/>
    <w:rsid w:val="009E417F"/>
    <w:rsid w:val="009E47DA"/>
    <w:rsid w:val="009E6314"/>
    <w:rsid w:val="009F391A"/>
    <w:rsid w:val="00A010FC"/>
    <w:rsid w:val="00A06880"/>
    <w:rsid w:val="00A07D5D"/>
    <w:rsid w:val="00A12C47"/>
    <w:rsid w:val="00A134B0"/>
    <w:rsid w:val="00A14B2C"/>
    <w:rsid w:val="00A1558C"/>
    <w:rsid w:val="00A20D3A"/>
    <w:rsid w:val="00A32F4C"/>
    <w:rsid w:val="00A342EC"/>
    <w:rsid w:val="00A3794F"/>
    <w:rsid w:val="00A40365"/>
    <w:rsid w:val="00A42D5D"/>
    <w:rsid w:val="00A46941"/>
    <w:rsid w:val="00A50201"/>
    <w:rsid w:val="00A50FE7"/>
    <w:rsid w:val="00A53FA8"/>
    <w:rsid w:val="00A54252"/>
    <w:rsid w:val="00A56839"/>
    <w:rsid w:val="00A57876"/>
    <w:rsid w:val="00A606C7"/>
    <w:rsid w:val="00A65212"/>
    <w:rsid w:val="00A70272"/>
    <w:rsid w:val="00A7495D"/>
    <w:rsid w:val="00A75AB0"/>
    <w:rsid w:val="00A76515"/>
    <w:rsid w:val="00A76E00"/>
    <w:rsid w:val="00A86B0F"/>
    <w:rsid w:val="00A91579"/>
    <w:rsid w:val="00A920E1"/>
    <w:rsid w:val="00A95117"/>
    <w:rsid w:val="00A95470"/>
    <w:rsid w:val="00A95CFA"/>
    <w:rsid w:val="00A971A8"/>
    <w:rsid w:val="00A97313"/>
    <w:rsid w:val="00AA2AE6"/>
    <w:rsid w:val="00AA6F6A"/>
    <w:rsid w:val="00AA6FEE"/>
    <w:rsid w:val="00AA738E"/>
    <w:rsid w:val="00AB011D"/>
    <w:rsid w:val="00AB1A3C"/>
    <w:rsid w:val="00AB1F40"/>
    <w:rsid w:val="00AB5605"/>
    <w:rsid w:val="00AB6C11"/>
    <w:rsid w:val="00AC14DF"/>
    <w:rsid w:val="00AC44F5"/>
    <w:rsid w:val="00AD02E0"/>
    <w:rsid w:val="00AD4398"/>
    <w:rsid w:val="00AD5375"/>
    <w:rsid w:val="00AE6FCF"/>
    <w:rsid w:val="00AF0025"/>
    <w:rsid w:val="00AF153C"/>
    <w:rsid w:val="00AF24A2"/>
    <w:rsid w:val="00AF2BE1"/>
    <w:rsid w:val="00AF4148"/>
    <w:rsid w:val="00AF5DE1"/>
    <w:rsid w:val="00AF63F2"/>
    <w:rsid w:val="00AF774F"/>
    <w:rsid w:val="00B03599"/>
    <w:rsid w:val="00B03E2E"/>
    <w:rsid w:val="00B1084D"/>
    <w:rsid w:val="00B14776"/>
    <w:rsid w:val="00B1539A"/>
    <w:rsid w:val="00B230AE"/>
    <w:rsid w:val="00B2360F"/>
    <w:rsid w:val="00B305B9"/>
    <w:rsid w:val="00B307AB"/>
    <w:rsid w:val="00B308DE"/>
    <w:rsid w:val="00B30CF5"/>
    <w:rsid w:val="00B363E2"/>
    <w:rsid w:val="00B42997"/>
    <w:rsid w:val="00B44A3E"/>
    <w:rsid w:val="00B47939"/>
    <w:rsid w:val="00B54254"/>
    <w:rsid w:val="00B55932"/>
    <w:rsid w:val="00B61590"/>
    <w:rsid w:val="00B62287"/>
    <w:rsid w:val="00B62801"/>
    <w:rsid w:val="00B64452"/>
    <w:rsid w:val="00B70E2C"/>
    <w:rsid w:val="00B71E53"/>
    <w:rsid w:val="00B841C8"/>
    <w:rsid w:val="00B8563C"/>
    <w:rsid w:val="00B8585A"/>
    <w:rsid w:val="00B9302A"/>
    <w:rsid w:val="00B958AC"/>
    <w:rsid w:val="00B9793F"/>
    <w:rsid w:val="00BA037E"/>
    <w:rsid w:val="00BA2B21"/>
    <w:rsid w:val="00BA6535"/>
    <w:rsid w:val="00BA7C43"/>
    <w:rsid w:val="00BB3564"/>
    <w:rsid w:val="00BC16B9"/>
    <w:rsid w:val="00BC2388"/>
    <w:rsid w:val="00BC354D"/>
    <w:rsid w:val="00BC4A1E"/>
    <w:rsid w:val="00BD00B0"/>
    <w:rsid w:val="00BE0557"/>
    <w:rsid w:val="00BE2DBB"/>
    <w:rsid w:val="00BE515E"/>
    <w:rsid w:val="00BE7689"/>
    <w:rsid w:val="00BF2BC3"/>
    <w:rsid w:val="00C0116E"/>
    <w:rsid w:val="00C023D1"/>
    <w:rsid w:val="00C05E42"/>
    <w:rsid w:val="00C12004"/>
    <w:rsid w:val="00C12389"/>
    <w:rsid w:val="00C1374E"/>
    <w:rsid w:val="00C16524"/>
    <w:rsid w:val="00C1695F"/>
    <w:rsid w:val="00C30E37"/>
    <w:rsid w:val="00C32F65"/>
    <w:rsid w:val="00C33565"/>
    <w:rsid w:val="00C353C3"/>
    <w:rsid w:val="00C4071B"/>
    <w:rsid w:val="00C411E3"/>
    <w:rsid w:val="00C41317"/>
    <w:rsid w:val="00C43744"/>
    <w:rsid w:val="00C44DEE"/>
    <w:rsid w:val="00C5209A"/>
    <w:rsid w:val="00C57DBA"/>
    <w:rsid w:val="00C65664"/>
    <w:rsid w:val="00C67D43"/>
    <w:rsid w:val="00C72057"/>
    <w:rsid w:val="00C727A6"/>
    <w:rsid w:val="00C743AF"/>
    <w:rsid w:val="00C74EB6"/>
    <w:rsid w:val="00C80518"/>
    <w:rsid w:val="00C861E0"/>
    <w:rsid w:val="00C87110"/>
    <w:rsid w:val="00C92A23"/>
    <w:rsid w:val="00C92DCF"/>
    <w:rsid w:val="00C93703"/>
    <w:rsid w:val="00C97D7A"/>
    <w:rsid w:val="00CA08C1"/>
    <w:rsid w:val="00CA0F54"/>
    <w:rsid w:val="00CA1544"/>
    <w:rsid w:val="00CA4540"/>
    <w:rsid w:val="00CA56D5"/>
    <w:rsid w:val="00CA7D59"/>
    <w:rsid w:val="00CB3EB2"/>
    <w:rsid w:val="00CB49BF"/>
    <w:rsid w:val="00CB5261"/>
    <w:rsid w:val="00CB58A8"/>
    <w:rsid w:val="00CC009A"/>
    <w:rsid w:val="00CC4FF0"/>
    <w:rsid w:val="00CC6256"/>
    <w:rsid w:val="00CD43CA"/>
    <w:rsid w:val="00CD5C48"/>
    <w:rsid w:val="00CE0B8E"/>
    <w:rsid w:val="00CE1B0F"/>
    <w:rsid w:val="00CE4763"/>
    <w:rsid w:val="00CE5AA5"/>
    <w:rsid w:val="00CF3CCE"/>
    <w:rsid w:val="00CF48AD"/>
    <w:rsid w:val="00CF723C"/>
    <w:rsid w:val="00D0305B"/>
    <w:rsid w:val="00D06EB4"/>
    <w:rsid w:val="00D16347"/>
    <w:rsid w:val="00D229F8"/>
    <w:rsid w:val="00D22BC6"/>
    <w:rsid w:val="00D32AEC"/>
    <w:rsid w:val="00D337D6"/>
    <w:rsid w:val="00D40E26"/>
    <w:rsid w:val="00D46154"/>
    <w:rsid w:val="00D51CAE"/>
    <w:rsid w:val="00D52CEC"/>
    <w:rsid w:val="00D61125"/>
    <w:rsid w:val="00D6127A"/>
    <w:rsid w:val="00D617A5"/>
    <w:rsid w:val="00D664C1"/>
    <w:rsid w:val="00D724FD"/>
    <w:rsid w:val="00D876B7"/>
    <w:rsid w:val="00D90076"/>
    <w:rsid w:val="00D93C89"/>
    <w:rsid w:val="00D94635"/>
    <w:rsid w:val="00D95FEC"/>
    <w:rsid w:val="00DA37C0"/>
    <w:rsid w:val="00DA5DBF"/>
    <w:rsid w:val="00DB0A0C"/>
    <w:rsid w:val="00DC5E65"/>
    <w:rsid w:val="00DC645E"/>
    <w:rsid w:val="00DD178E"/>
    <w:rsid w:val="00DD214A"/>
    <w:rsid w:val="00DD6209"/>
    <w:rsid w:val="00DD6E83"/>
    <w:rsid w:val="00DE116D"/>
    <w:rsid w:val="00DE754E"/>
    <w:rsid w:val="00DF03CB"/>
    <w:rsid w:val="00DF73F4"/>
    <w:rsid w:val="00E04934"/>
    <w:rsid w:val="00E055D9"/>
    <w:rsid w:val="00E11F68"/>
    <w:rsid w:val="00E1576B"/>
    <w:rsid w:val="00E2381B"/>
    <w:rsid w:val="00E241C4"/>
    <w:rsid w:val="00E24518"/>
    <w:rsid w:val="00E270B4"/>
    <w:rsid w:val="00E27B07"/>
    <w:rsid w:val="00E31A6F"/>
    <w:rsid w:val="00E32CEE"/>
    <w:rsid w:val="00E33D0F"/>
    <w:rsid w:val="00E33E06"/>
    <w:rsid w:val="00E343B1"/>
    <w:rsid w:val="00E346E2"/>
    <w:rsid w:val="00E35CC5"/>
    <w:rsid w:val="00E40378"/>
    <w:rsid w:val="00E41755"/>
    <w:rsid w:val="00E44BFA"/>
    <w:rsid w:val="00E52475"/>
    <w:rsid w:val="00E52A24"/>
    <w:rsid w:val="00E52EEC"/>
    <w:rsid w:val="00E55196"/>
    <w:rsid w:val="00E60299"/>
    <w:rsid w:val="00E6195B"/>
    <w:rsid w:val="00E61E57"/>
    <w:rsid w:val="00E72FDB"/>
    <w:rsid w:val="00E75D40"/>
    <w:rsid w:val="00E76813"/>
    <w:rsid w:val="00E85458"/>
    <w:rsid w:val="00E865C1"/>
    <w:rsid w:val="00E87D10"/>
    <w:rsid w:val="00E87D3C"/>
    <w:rsid w:val="00E92FB3"/>
    <w:rsid w:val="00E9488F"/>
    <w:rsid w:val="00E95696"/>
    <w:rsid w:val="00EA2835"/>
    <w:rsid w:val="00EB4CD2"/>
    <w:rsid w:val="00EC56CC"/>
    <w:rsid w:val="00EC6686"/>
    <w:rsid w:val="00ED0CAE"/>
    <w:rsid w:val="00ED2876"/>
    <w:rsid w:val="00ED3672"/>
    <w:rsid w:val="00ED52A8"/>
    <w:rsid w:val="00EE1323"/>
    <w:rsid w:val="00EE1F50"/>
    <w:rsid w:val="00EF2F66"/>
    <w:rsid w:val="00EF354C"/>
    <w:rsid w:val="00EF50BD"/>
    <w:rsid w:val="00EF5108"/>
    <w:rsid w:val="00EF5292"/>
    <w:rsid w:val="00EF5352"/>
    <w:rsid w:val="00EF7FB1"/>
    <w:rsid w:val="00F01445"/>
    <w:rsid w:val="00F03292"/>
    <w:rsid w:val="00F055CD"/>
    <w:rsid w:val="00F0781F"/>
    <w:rsid w:val="00F08E5A"/>
    <w:rsid w:val="00F12495"/>
    <w:rsid w:val="00F14EF6"/>
    <w:rsid w:val="00F22186"/>
    <w:rsid w:val="00F261D1"/>
    <w:rsid w:val="00F318A4"/>
    <w:rsid w:val="00F3208A"/>
    <w:rsid w:val="00F3362B"/>
    <w:rsid w:val="00F33C42"/>
    <w:rsid w:val="00F34174"/>
    <w:rsid w:val="00F34BC5"/>
    <w:rsid w:val="00F352BA"/>
    <w:rsid w:val="00F4190A"/>
    <w:rsid w:val="00F53717"/>
    <w:rsid w:val="00F53BF5"/>
    <w:rsid w:val="00F571C5"/>
    <w:rsid w:val="00F57259"/>
    <w:rsid w:val="00F663A9"/>
    <w:rsid w:val="00F666A6"/>
    <w:rsid w:val="00F80CDF"/>
    <w:rsid w:val="00F817C3"/>
    <w:rsid w:val="00F82582"/>
    <w:rsid w:val="00F840C4"/>
    <w:rsid w:val="00F8435E"/>
    <w:rsid w:val="00F849BA"/>
    <w:rsid w:val="00F86497"/>
    <w:rsid w:val="00F9066F"/>
    <w:rsid w:val="00F93537"/>
    <w:rsid w:val="00FA0948"/>
    <w:rsid w:val="00FA2210"/>
    <w:rsid w:val="00FA28B3"/>
    <w:rsid w:val="00FA5168"/>
    <w:rsid w:val="00FA770F"/>
    <w:rsid w:val="00FB1C81"/>
    <w:rsid w:val="00FB484D"/>
    <w:rsid w:val="00FC29E6"/>
    <w:rsid w:val="00FD2144"/>
    <w:rsid w:val="00FD4541"/>
    <w:rsid w:val="00FD56A8"/>
    <w:rsid w:val="00FD6151"/>
    <w:rsid w:val="00FD695D"/>
    <w:rsid w:val="00FE1DB3"/>
    <w:rsid w:val="00FF5EE0"/>
    <w:rsid w:val="01350BC7"/>
    <w:rsid w:val="01CCDA7D"/>
    <w:rsid w:val="0253F01E"/>
    <w:rsid w:val="02B09E18"/>
    <w:rsid w:val="02ED8FA1"/>
    <w:rsid w:val="03567FAC"/>
    <w:rsid w:val="03A535D7"/>
    <w:rsid w:val="03A6AC8C"/>
    <w:rsid w:val="0408FB22"/>
    <w:rsid w:val="0469242D"/>
    <w:rsid w:val="047744A0"/>
    <w:rsid w:val="04E14E62"/>
    <w:rsid w:val="04FE274B"/>
    <w:rsid w:val="050B1E96"/>
    <w:rsid w:val="0555C14A"/>
    <w:rsid w:val="05A36D32"/>
    <w:rsid w:val="05B0C4C9"/>
    <w:rsid w:val="063A9AE4"/>
    <w:rsid w:val="0647ED59"/>
    <w:rsid w:val="065E4D14"/>
    <w:rsid w:val="06B93D9F"/>
    <w:rsid w:val="06C792FA"/>
    <w:rsid w:val="070B0461"/>
    <w:rsid w:val="073C0ED8"/>
    <w:rsid w:val="073F3D93"/>
    <w:rsid w:val="07528419"/>
    <w:rsid w:val="079A4F14"/>
    <w:rsid w:val="07B33F58"/>
    <w:rsid w:val="07EB389E"/>
    <w:rsid w:val="085A813A"/>
    <w:rsid w:val="08FE46A6"/>
    <w:rsid w:val="09164E80"/>
    <w:rsid w:val="0A353DF5"/>
    <w:rsid w:val="0A86EB37"/>
    <w:rsid w:val="0A8E7CF0"/>
    <w:rsid w:val="0B6AB631"/>
    <w:rsid w:val="0BCD5C68"/>
    <w:rsid w:val="0C0EAB68"/>
    <w:rsid w:val="0C14F0D1"/>
    <w:rsid w:val="0C33BD9F"/>
    <w:rsid w:val="0C7016E9"/>
    <w:rsid w:val="0CAADF9E"/>
    <w:rsid w:val="0CAF934C"/>
    <w:rsid w:val="0CE16C3C"/>
    <w:rsid w:val="0D721EA9"/>
    <w:rsid w:val="0D9AD894"/>
    <w:rsid w:val="0DA4EE74"/>
    <w:rsid w:val="0DE604C9"/>
    <w:rsid w:val="0DF0FD77"/>
    <w:rsid w:val="0E638574"/>
    <w:rsid w:val="0E6A4063"/>
    <w:rsid w:val="0EF03156"/>
    <w:rsid w:val="0F1198AA"/>
    <w:rsid w:val="0F365F26"/>
    <w:rsid w:val="0F4C7717"/>
    <w:rsid w:val="0F5A284E"/>
    <w:rsid w:val="0F6A229D"/>
    <w:rsid w:val="0FE28060"/>
    <w:rsid w:val="0FF5B997"/>
    <w:rsid w:val="0FFF748B"/>
    <w:rsid w:val="10023592"/>
    <w:rsid w:val="101D1AF6"/>
    <w:rsid w:val="102B5410"/>
    <w:rsid w:val="1078F84F"/>
    <w:rsid w:val="10A01EC3"/>
    <w:rsid w:val="11117A70"/>
    <w:rsid w:val="117B8BE4"/>
    <w:rsid w:val="117E50C1"/>
    <w:rsid w:val="124DAFC4"/>
    <w:rsid w:val="1257E667"/>
    <w:rsid w:val="132F2DEC"/>
    <w:rsid w:val="13675622"/>
    <w:rsid w:val="138DAC24"/>
    <w:rsid w:val="13C64B5F"/>
    <w:rsid w:val="13DEB767"/>
    <w:rsid w:val="1451950B"/>
    <w:rsid w:val="14D78CA0"/>
    <w:rsid w:val="14E90B8B"/>
    <w:rsid w:val="15215612"/>
    <w:rsid w:val="158CA694"/>
    <w:rsid w:val="15BE4FC7"/>
    <w:rsid w:val="15EDEBFA"/>
    <w:rsid w:val="16C0B665"/>
    <w:rsid w:val="16C139C7"/>
    <w:rsid w:val="1727D84F"/>
    <w:rsid w:val="173D9334"/>
    <w:rsid w:val="174F0B74"/>
    <w:rsid w:val="175A2028"/>
    <w:rsid w:val="17B61AF7"/>
    <w:rsid w:val="17CFEBB2"/>
    <w:rsid w:val="18457EA8"/>
    <w:rsid w:val="18A614AC"/>
    <w:rsid w:val="18D6373D"/>
    <w:rsid w:val="18D9B49D"/>
    <w:rsid w:val="199DDF1B"/>
    <w:rsid w:val="19D449C5"/>
    <w:rsid w:val="19E1C5F6"/>
    <w:rsid w:val="19F85727"/>
    <w:rsid w:val="1A8F29BE"/>
    <w:rsid w:val="1AA645FA"/>
    <w:rsid w:val="1B336383"/>
    <w:rsid w:val="1B43A8DE"/>
    <w:rsid w:val="1B77A997"/>
    <w:rsid w:val="1B822363"/>
    <w:rsid w:val="1BC2AE36"/>
    <w:rsid w:val="1BF5EA62"/>
    <w:rsid w:val="1C414E46"/>
    <w:rsid w:val="1C4D3E92"/>
    <w:rsid w:val="1C7CA761"/>
    <w:rsid w:val="1C9184EF"/>
    <w:rsid w:val="1CABD31E"/>
    <w:rsid w:val="1D276F03"/>
    <w:rsid w:val="1D6765E1"/>
    <w:rsid w:val="1E0EC8FD"/>
    <w:rsid w:val="1E6B0445"/>
    <w:rsid w:val="1EBACFEC"/>
    <w:rsid w:val="1ECE3127"/>
    <w:rsid w:val="1EF2A22C"/>
    <w:rsid w:val="1F376E5F"/>
    <w:rsid w:val="1F4BD341"/>
    <w:rsid w:val="1F6EAB2F"/>
    <w:rsid w:val="1FA07D5B"/>
    <w:rsid w:val="1FA4C6E3"/>
    <w:rsid w:val="1FCB2F5D"/>
    <w:rsid w:val="1FF6DE15"/>
    <w:rsid w:val="201BC480"/>
    <w:rsid w:val="20BC3004"/>
    <w:rsid w:val="21238FBF"/>
    <w:rsid w:val="21461A4D"/>
    <w:rsid w:val="219C11FE"/>
    <w:rsid w:val="21A3B634"/>
    <w:rsid w:val="21E7CB41"/>
    <w:rsid w:val="21EA6B17"/>
    <w:rsid w:val="2282D944"/>
    <w:rsid w:val="2298FCDB"/>
    <w:rsid w:val="22C5D85F"/>
    <w:rsid w:val="23148AEC"/>
    <w:rsid w:val="2341B90F"/>
    <w:rsid w:val="2358675F"/>
    <w:rsid w:val="23D05C85"/>
    <w:rsid w:val="23DB5E35"/>
    <w:rsid w:val="24536B27"/>
    <w:rsid w:val="2498CCED"/>
    <w:rsid w:val="24B31BA4"/>
    <w:rsid w:val="24C2EC64"/>
    <w:rsid w:val="256441ED"/>
    <w:rsid w:val="25A4308B"/>
    <w:rsid w:val="262862AD"/>
    <w:rsid w:val="26BD21D0"/>
    <w:rsid w:val="26E9C942"/>
    <w:rsid w:val="273A5B08"/>
    <w:rsid w:val="2775A476"/>
    <w:rsid w:val="278B8969"/>
    <w:rsid w:val="27BC1576"/>
    <w:rsid w:val="28001EA7"/>
    <w:rsid w:val="280AECC7"/>
    <w:rsid w:val="280C3E70"/>
    <w:rsid w:val="2817639C"/>
    <w:rsid w:val="284B2B05"/>
    <w:rsid w:val="28ADA90D"/>
    <w:rsid w:val="28D26238"/>
    <w:rsid w:val="28F72D27"/>
    <w:rsid w:val="2925101D"/>
    <w:rsid w:val="29530B0D"/>
    <w:rsid w:val="29E34E6F"/>
    <w:rsid w:val="2A0050F4"/>
    <w:rsid w:val="2A4B5D1C"/>
    <w:rsid w:val="2A50D04B"/>
    <w:rsid w:val="2A84CDC0"/>
    <w:rsid w:val="2AE2E5FE"/>
    <w:rsid w:val="2BA09061"/>
    <w:rsid w:val="2BA9E75C"/>
    <w:rsid w:val="2BEFC9AB"/>
    <w:rsid w:val="2C028A6F"/>
    <w:rsid w:val="2C3585E4"/>
    <w:rsid w:val="2CC4E925"/>
    <w:rsid w:val="2CDFE005"/>
    <w:rsid w:val="2D2618E4"/>
    <w:rsid w:val="2D4B3503"/>
    <w:rsid w:val="2D83E513"/>
    <w:rsid w:val="2D8B824F"/>
    <w:rsid w:val="2E2FF937"/>
    <w:rsid w:val="2E6FF493"/>
    <w:rsid w:val="2E73D477"/>
    <w:rsid w:val="2E899D41"/>
    <w:rsid w:val="2EC0FC8C"/>
    <w:rsid w:val="2EF13AFD"/>
    <w:rsid w:val="2F2B7A13"/>
    <w:rsid w:val="2F36F594"/>
    <w:rsid w:val="2FE8A7ED"/>
    <w:rsid w:val="2FECEF67"/>
    <w:rsid w:val="303BD526"/>
    <w:rsid w:val="305A763D"/>
    <w:rsid w:val="30755DED"/>
    <w:rsid w:val="3076A155"/>
    <w:rsid w:val="308BDE26"/>
    <w:rsid w:val="30C8E6FF"/>
    <w:rsid w:val="310A163B"/>
    <w:rsid w:val="31749515"/>
    <w:rsid w:val="31C3B226"/>
    <w:rsid w:val="3204C20D"/>
    <w:rsid w:val="32C65C9D"/>
    <w:rsid w:val="32E5D03E"/>
    <w:rsid w:val="335C8F5F"/>
    <w:rsid w:val="33921E3B"/>
    <w:rsid w:val="33A935A4"/>
    <w:rsid w:val="33FDDFBE"/>
    <w:rsid w:val="3430F094"/>
    <w:rsid w:val="345FDAD4"/>
    <w:rsid w:val="3464CB4B"/>
    <w:rsid w:val="347782FF"/>
    <w:rsid w:val="34B7D5E3"/>
    <w:rsid w:val="34C78093"/>
    <w:rsid w:val="3504D829"/>
    <w:rsid w:val="351DEBF2"/>
    <w:rsid w:val="353FF2C1"/>
    <w:rsid w:val="35667A87"/>
    <w:rsid w:val="364EFDD8"/>
    <w:rsid w:val="3674D4B9"/>
    <w:rsid w:val="36BB45B9"/>
    <w:rsid w:val="36F3BB46"/>
    <w:rsid w:val="3738B37E"/>
    <w:rsid w:val="37F86066"/>
    <w:rsid w:val="38610252"/>
    <w:rsid w:val="387F8109"/>
    <w:rsid w:val="388016E6"/>
    <w:rsid w:val="38B4A168"/>
    <w:rsid w:val="39124D26"/>
    <w:rsid w:val="39323AB4"/>
    <w:rsid w:val="3946EAFF"/>
    <w:rsid w:val="399AF2C1"/>
    <w:rsid w:val="3A3FA27E"/>
    <w:rsid w:val="3A572BE3"/>
    <w:rsid w:val="3A6382A9"/>
    <w:rsid w:val="3ADB648B"/>
    <w:rsid w:val="3AE8A820"/>
    <w:rsid w:val="3AED352C"/>
    <w:rsid w:val="3B0B0E89"/>
    <w:rsid w:val="3B82A972"/>
    <w:rsid w:val="3B98A314"/>
    <w:rsid w:val="3C7F87E0"/>
    <w:rsid w:val="3CE4D3F9"/>
    <w:rsid w:val="3D119B52"/>
    <w:rsid w:val="3D1B4B18"/>
    <w:rsid w:val="3D539CA3"/>
    <w:rsid w:val="3D62CA5D"/>
    <w:rsid w:val="3D63A45B"/>
    <w:rsid w:val="3E5D288B"/>
    <w:rsid w:val="3EA8EB43"/>
    <w:rsid w:val="402A13C8"/>
    <w:rsid w:val="40682419"/>
    <w:rsid w:val="4076626C"/>
    <w:rsid w:val="408C3604"/>
    <w:rsid w:val="409483BB"/>
    <w:rsid w:val="40E5040B"/>
    <w:rsid w:val="41434E53"/>
    <w:rsid w:val="41EEBC3B"/>
    <w:rsid w:val="4224FE79"/>
    <w:rsid w:val="426EC9B3"/>
    <w:rsid w:val="428EEF1F"/>
    <w:rsid w:val="4344724B"/>
    <w:rsid w:val="43683883"/>
    <w:rsid w:val="437D106B"/>
    <w:rsid w:val="43A9C16F"/>
    <w:rsid w:val="43D60CD3"/>
    <w:rsid w:val="43D7012D"/>
    <w:rsid w:val="43D9A2B2"/>
    <w:rsid w:val="43E06B15"/>
    <w:rsid w:val="4443490E"/>
    <w:rsid w:val="4455FF4F"/>
    <w:rsid w:val="446430EE"/>
    <w:rsid w:val="4476FD32"/>
    <w:rsid w:val="44883A8E"/>
    <w:rsid w:val="4506EA57"/>
    <w:rsid w:val="456CFC40"/>
    <w:rsid w:val="456DE608"/>
    <w:rsid w:val="459D387F"/>
    <w:rsid w:val="45C42723"/>
    <w:rsid w:val="45E34208"/>
    <w:rsid w:val="46966E42"/>
    <w:rsid w:val="46E6E8F6"/>
    <w:rsid w:val="46F8C33E"/>
    <w:rsid w:val="470EE823"/>
    <w:rsid w:val="476D89B1"/>
    <w:rsid w:val="47C403FA"/>
    <w:rsid w:val="47D0C87A"/>
    <w:rsid w:val="48A3F85A"/>
    <w:rsid w:val="48A99C7D"/>
    <w:rsid w:val="48D7D628"/>
    <w:rsid w:val="490CBAF2"/>
    <w:rsid w:val="4964167A"/>
    <w:rsid w:val="4A04EA61"/>
    <w:rsid w:val="4A115D2B"/>
    <w:rsid w:val="4AB39099"/>
    <w:rsid w:val="4AECBFE5"/>
    <w:rsid w:val="4B1FD87A"/>
    <w:rsid w:val="4B2E1194"/>
    <w:rsid w:val="4B31D1AA"/>
    <w:rsid w:val="4B327B8E"/>
    <w:rsid w:val="4B37DA93"/>
    <w:rsid w:val="4B90ADE0"/>
    <w:rsid w:val="4BD392A4"/>
    <w:rsid w:val="4BDDF38C"/>
    <w:rsid w:val="4BEC38D0"/>
    <w:rsid w:val="4C27A061"/>
    <w:rsid w:val="4C64182C"/>
    <w:rsid w:val="4CA142E8"/>
    <w:rsid w:val="4CDD6D5A"/>
    <w:rsid w:val="4CE324A2"/>
    <w:rsid w:val="4CE82E05"/>
    <w:rsid w:val="4D81B173"/>
    <w:rsid w:val="4DF15454"/>
    <w:rsid w:val="4E734BCC"/>
    <w:rsid w:val="4E8454CD"/>
    <w:rsid w:val="4ED00327"/>
    <w:rsid w:val="4ED36462"/>
    <w:rsid w:val="4F5FB083"/>
    <w:rsid w:val="4F8BF98F"/>
    <w:rsid w:val="4F9328D3"/>
    <w:rsid w:val="4FA30307"/>
    <w:rsid w:val="4FB7436B"/>
    <w:rsid w:val="50216311"/>
    <w:rsid w:val="50937412"/>
    <w:rsid w:val="50A42DF5"/>
    <w:rsid w:val="50FA9520"/>
    <w:rsid w:val="510E550B"/>
    <w:rsid w:val="5111D9C9"/>
    <w:rsid w:val="512CBD63"/>
    <w:rsid w:val="5148BE1D"/>
    <w:rsid w:val="51939267"/>
    <w:rsid w:val="51A7BDCC"/>
    <w:rsid w:val="51B42163"/>
    <w:rsid w:val="526B0DC7"/>
    <w:rsid w:val="530CDAB4"/>
    <w:rsid w:val="531EEABA"/>
    <w:rsid w:val="53F7B402"/>
    <w:rsid w:val="54C2D790"/>
    <w:rsid w:val="55439D1F"/>
    <w:rsid w:val="556F5A6C"/>
    <w:rsid w:val="55DECABA"/>
    <w:rsid w:val="563043BA"/>
    <w:rsid w:val="5644FD1B"/>
    <w:rsid w:val="5663EDC9"/>
    <w:rsid w:val="568F66B2"/>
    <w:rsid w:val="56D529FA"/>
    <w:rsid w:val="56DF9697"/>
    <w:rsid w:val="570C7FF4"/>
    <w:rsid w:val="572854D1"/>
    <w:rsid w:val="577DEA12"/>
    <w:rsid w:val="578A220E"/>
    <w:rsid w:val="57C5ECFD"/>
    <w:rsid w:val="57D1F7BC"/>
    <w:rsid w:val="583AA981"/>
    <w:rsid w:val="583F950C"/>
    <w:rsid w:val="588B55F4"/>
    <w:rsid w:val="58A6FB2E"/>
    <w:rsid w:val="58E298B7"/>
    <w:rsid w:val="58F54EB8"/>
    <w:rsid w:val="5951654B"/>
    <w:rsid w:val="59567DEC"/>
    <w:rsid w:val="59A39D55"/>
    <w:rsid w:val="59AE83C0"/>
    <w:rsid w:val="5A0B0353"/>
    <w:rsid w:val="5A1265FF"/>
    <w:rsid w:val="5A25ECBA"/>
    <w:rsid w:val="5A5DDA0B"/>
    <w:rsid w:val="5A8B6061"/>
    <w:rsid w:val="5AAF7392"/>
    <w:rsid w:val="5BA82910"/>
    <w:rsid w:val="5BAE1F1D"/>
    <w:rsid w:val="5BC1469B"/>
    <w:rsid w:val="5C017CD7"/>
    <w:rsid w:val="5C8AE9ED"/>
    <w:rsid w:val="5CD0DDE6"/>
    <w:rsid w:val="5CDEEF81"/>
    <w:rsid w:val="5D06EC1A"/>
    <w:rsid w:val="5D865EBC"/>
    <w:rsid w:val="5DE16228"/>
    <w:rsid w:val="5DE652C9"/>
    <w:rsid w:val="5E1984A8"/>
    <w:rsid w:val="5E59D456"/>
    <w:rsid w:val="5E8750F3"/>
    <w:rsid w:val="5E8757A1"/>
    <w:rsid w:val="5ED6E20B"/>
    <w:rsid w:val="5EE3B33E"/>
    <w:rsid w:val="5F314B2E"/>
    <w:rsid w:val="5F60C708"/>
    <w:rsid w:val="5F705AAD"/>
    <w:rsid w:val="5F82232A"/>
    <w:rsid w:val="60824445"/>
    <w:rsid w:val="60992DF8"/>
    <w:rsid w:val="60CEA2C4"/>
    <w:rsid w:val="60FB9829"/>
    <w:rsid w:val="61056128"/>
    <w:rsid w:val="611A6CE6"/>
    <w:rsid w:val="61932DAB"/>
    <w:rsid w:val="61F5B90C"/>
    <w:rsid w:val="621F2F17"/>
    <w:rsid w:val="62D5CE32"/>
    <w:rsid w:val="62E5771B"/>
    <w:rsid w:val="63710D78"/>
    <w:rsid w:val="63B856E1"/>
    <w:rsid w:val="63D38638"/>
    <w:rsid w:val="640191DC"/>
    <w:rsid w:val="6415C5EA"/>
    <w:rsid w:val="6450A3AC"/>
    <w:rsid w:val="64760AA6"/>
    <w:rsid w:val="64AFED7D"/>
    <w:rsid w:val="64D1D9FA"/>
    <w:rsid w:val="6504E497"/>
    <w:rsid w:val="652CCE69"/>
    <w:rsid w:val="654C85FB"/>
    <w:rsid w:val="657DB4CC"/>
    <w:rsid w:val="661A89A7"/>
    <w:rsid w:val="661BD3D4"/>
    <w:rsid w:val="6664E63B"/>
    <w:rsid w:val="6710106C"/>
    <w:rsid w:val="672FDEF8"/>
    <w:rsid w:val="6759ABBD"/>
    <w:rsid w:val="67AE3C70"/>
    <w:rsid w:val="67AED36C"/>
    <w:rsid w:val="67C1350B"/>
    <w:rsid w:val="682894B2"/>
    <w:rsid w:val="684EF9D5"/>
    <w:rsid w:val="688522DC"/>
    <w:rsid w:val="68C15F87"/>
    <w:rsid w:val="68D815B1"/>
    <w:rsid w:val="68F48E25"/>
    <w:rsid w:val="692F325D"/>
    <w:rsid w:val="69730D9D"/>
    <w:rsid w:val="6A335994"/>
    <w:rsid w:val="6A6F1190"/>
    <w:rsid w:val="6A90757B"/>
    <w:rsid w:val="6AC3A47E"/>
    <w:rsid w:val="6B1432C1"/>
    <w:rsid w:val="6B4B176F"/>
    <w:rsid w:val="6C528B72"/>
    <w:rsid w:val="6C8152FF"/>
    <w:rsid w:val="6CE68339"/>
    <w:rsid w:val="6D6AFA56"/>
    <w:rsid w:val="6E2EDBCA"/>
    <w:rsid w:val="6E44CB9E"/>
    <w:rsid w:val="6E724A23"/>
    <w:rsid w:val="6E9B85BF"/>
    <w:rsid w:val="6F07CDA0"/>
    <w:rsid w:val="6F42152E"/>
    <w:rsid w:val="6FD64E37"/>
    <w:rsid w:val="6FFA8DAA"/>
    <w:rsid w:val="702DEA9B"/>
    <w:rsid w:val="70766B60"/>
    <w:rsid w:val="70B6064D"/>
    <w:rsid w:val="70C7E460"/>
    <w:rsid w:val="714041D4"/>
    <w:rsid w:val="717B0BB7"/>
    <w:rsid w:val="722413C7"/>
    <w:rsid w:val="723F77DA"/>
    <w:rsid w:val="7263B4C1"/>
    <w:rsid w:val="726B88E4"/>
    <w:rsid w:val="72B4B846"/>
    <w:rsid w:val="72DD7104"/>
    <w:rsid w:val="7302090D"/>
    <w:rsid w:val="735504C4"/>
    <w:rsid w:val="737116F2"/>
    <w:rsid w:val="73BD8417"/>
    <w:rsid w:val="746CADBB"/>
    <w:rsid w:val="747DEA01"/>
    <w:rsid w:val="748FEF68"/>
    <w:rsid w:val="74DEACC4"/>
    <w:rsid w:val="74FCA760"/>
    <w:rsid w:val="757C6C0D"/>
    <w:rsid w:val="75FC04FC"/>
    <w:rsid w:val="761848CB"/>
    <w:rsid w:val="762456AC"/>
    <w:rsid w:val="766CF9D6"/>
    <w:rsid w:val="77792190"/>
    <w:rsid w:val="77925111"/>
    <w:rsid w:val="77CBBCB8"/>
    <w:rsid w:val="77CD274D"/>
    <w:rsid w:val="77E987BD"/>
    <w:rsid w:val="782EA6C7"/>
    <w:rsid w:val="78F174FC"/>
    <w:rsid w:val="79059DC8"/>
    <w:rsid w:val="79095B53"/>
    <w:rsid w:val="790A9D59"/>
    <w:rsid w:val="7921DA85"/>
    <w:rsid w:val="7941A37A"/>
    <w:rsid w:val="79884793"/>
    <w:rsid w:val="79E3594D"/>
    <w:rsid w:val="7ACA6BD4"/>
    <w:rsid w:val="7AD4F468"/>
    <w:rsid w:val="7B00A89C"/>
    <w:rsid w:val="7B5789A9"/>
    <w:rsid w:val="7B8B4AFD"/>
    <w:rsid w:val="7BA7F623"/>
    <w:rsid w:val="7BFDF780"/>
    <w:rsid w:val="7C194085"/>
    <w:rsid w:val="7C5916A0"/>
    <w:rsid w:val="7C84EA17"/>
    <w:rsid w:val="7D3BC60B"/>
    <w:rsid w:val="7DDD5308"/>
    <w:rsid w:val="7E1B8C55"/>
    <w:rsid w:val="7E64F18D"/>
    <w:rsid w:val="7E927489"/>
    <w:rsid w:val="7F18D0FD"/>
    <w:rsid w:val="7F2B7638"/>
    <w:rsid w:val="7F6785DA"/>
    <w:rsid w:val="7F7A7044"/>
    <w:rsid w:val="7FBBFF9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DDB4C64"/>
  <w15:chartTrackingRefBased/>
  <w15:docId w15:val="{23E97C1B-254A-49F4-84B9-6C19E7B57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A7DE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9A7DE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A7DE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6E565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A7DE1"/>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9A7DE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7DE1"/>
    <w:rPr>
      <w:rFonts w:ascii="Segoe UI" w:hAnsi="Segoe UI" w:cs="Segoe UI"/>
      <w:sz w:val="18"/>
      <w:szCs w:val="18"/>
    </w:rPr>
  </w:style>
  <w:style w:type="character" w:customStyle="1" w:styleId="Heading2Char">
    <w:name w:val="Heading 2 Char"/>
    <w:basedOn w:val="DefaultParagraphFont"/>
    <w:link w:val="Heading2"/>
    <w:uiPriority w:val="9"/>
    <w:rsid w:val="009A7DE1"/>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9A7DE1"/>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9A7DE1"/>
    <w:pPr>
      <w:ind w:left="720"/>
      <w:contextualSpacing/>
    </w:pPr>
  </w:style>
  <w:style w:type="character" w:styleId="CommentReference">
    <w:name w:val="annotation reference"/>
    <w:basedOn w:val="DefaultParagraphFont"/>
    <w:uiPriority w:val="99"/>
    <w:semiHidden/>
    <w:unhideWhenUsed/>
    <w:rsid w:val="009A7DE1"/>
    <w:rPr>
      <w:sz w:val="16"/>
      <w:szCs w:val="16"/>
    </w:rPr>
  </w:style>
  <w:style w:type="paragraph" w:styleId="CommentText">
    <w:name w:val="annotation text"/>
    <w:basedOn w:val="Normal"/>
    <w:link w:val="CommentTextChar"/>
    <w:uiPriority w:val="99"/>
    <w:semiHidden/>
    <w:unhideWhenUsed/>
    <w:rsid w:val="009A7DE1"/>
    <w:pPr>
      <w:spacing w:line="240" w:lineRule="auto"/>
    </w:pPr>
    <w:rPr>
      <w:sz w:val="20"/>
      <w:szCs w:val="20"/>
    </w:rPr>
  </w:style>
  <w:style w:type="character" w:customStyle="1" w:styleId="CommentTextChar">
    <w:name w:val="Comment Text Char"/>
    <w:basedOn w:val="DefaultParagraphFont"/>
    <w:link w:val="CommentText"/>
    <w:uiPriority w:val="99"/>
    <w:semiHidden/>
    <w:rsid w:val="009A7DE1"/>
    <w:rPr>
      <w:sz w:val="20"/>
      <w:szCs w:val="20"/>
    </w:rPr>
  </w:style>
  <w:style w:type="character" w:styleId="Hyperlink">
    <w:name w:val="Hyperlink"/>
    <w:basedOn w:val="DefaultParagraphFont"/>
    <w:uiPriority w:val="99"/>
    <w:unhideWhenUsed/>
    <w:rsid w:val="009A7DE1"/>
    <w:rPr>
      <w:color w:val="0563C1" w:themeColor="hyperlink"/>
      <w:u w:val="single"/>
    </w:rPr>
  </w:style>
  <w:style w:type="character" w:styleId="UnresolvedMention">
    <w:name w:val="Unresolved Mention"/>
    <w:basedOn w:val="DefaultParagraphFont"/>
    <w:uiPriority w:val="99"/>
    <w:unhideWhenUsed/>
    <w:rsid w:val="009A7DE1"/>
    <w:rPr>
      <w:color w:val="605E5C"/>
      <w:shd w:val="clear" w:color="auto" w:fill="E1DFDD"/>
    </w:rPr>
  </w:style>
  <w:style w:type="paragraph" w:styleId="FootnoteText">
    <w:name w:val="footnote text"/>
    <w:basedOn w:val="Normal"/>
    <w:link w:val="FootnoteTextChar"/>
    <w:uiPriority w:val="99"/>
    <w:semiHidden/>
    <w:unhideWhenUsed/>
    <w:rsid w:val="009A7DE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A7DE1"/>
    <w:rPr>
      <w:sz w:val="20"/>
      <w:szCs w:val="20"/>
    </w:rPr>
  </w:style>
  <w:style w:type="character" w:styleId="FootnoteReference">
    <w:name w:val="footnote reference"/>
    <w:basedOn w:val="DefaultParagraphFont"/>
    <w:uiPriority w:val="99"/>
    <w:semiHidden/>
    <w:unhideWhenUsed/>
    <w:rsid w:val="009A7DE1"/>
    <w:rPr>
      <w:vertAlign w:val="superscript"/>
    </w:rPr>
  </w:style>
  <w:style w:type="paragraph" w:styleId="Header">
    <w:name w:val="header"/>
    <w:basedOn w:val="Normal"/>
    <w:link w:val="HeaderChar"/>
    <w:uiPriority w:val="99"/>
    <w:unhideWhenUsed/>
    <w:rsid w:val="009A7DE1"/>
    <w:pPr>
      <w:tabs>
        <w:tab w:val="center" w:pos="4513"/>
        <w:tab w:val="right" w:pos="9026"/>
      </w:tabs>
      <w:spacing w:after="0" w:line="240" w:lineRule="auto"/>
    </w:pPr>
  </w:style>
  <w:style w:type="character" w:customStyle="1" w:styleId="HeaderChar">
    <w:name w:val="Header Char"/>
    <w:basedOn w:val="DefaultParagraphFont"/>
    <w:link w:val="Header"/>
    <w:uiPriority w:val="99"/>
    <w:rsid w:val="009A7DE1"/>
  </w:style>
  <w:style w:type="paragraph" w:styleId="Footer">
    <w:name w:val="footer"/>
    <w:basedOn w:val="Normal"/>
    <w:link w:val="FooterChar"/>
    <w:uiPriority w:val="99"/>
    <w:unhideWhenUsed/>
    <w:rsid w:val="009A7DE1"/>
    <w:pPr>
      <w:tabs>
        <w:tab w:val="center" w:pos="4513"/>
        <w:tab w:val="right" w:pos="9026"/>
      </w:tabs>
      <w:spacing w:after="0" w:line="240" w:lineRule="auto"/>
    </w:pPr>
  </w:style>
  <w:style w:type="character" w:customStyle="1" w:styleId="FooterChar">
    <w:name w:val="Footer Char"/>
    <w:basedOn w:val="DefaultParagraphFont"/>
    <w:link w:val="Footer"/>
    <w:uiPriority w:val="99"/>
    <w:rsid w:val="009A7DE1"/>
  </w:style>
  <w:style w:type="paragraph" w:styleId="CommentSubject">
    <w:name w:val="annotation subject"/>
    <w:basedOn w:val="CommentText"/>
    <w:next w:val="CommentText"/>
    <w:link w:val="CommentSubjectChar"/>
    <w:uiPriority w:val="99"/>
    <w:semiHidden/>
    <w:unhideWhenUsed/>
    <w:rsid w:val="004C0383"/>
    <w:rPr>
      <w:b/>
      <w:bCs/>
    </w:rPr>
  </w:style>
  <w:style w:type="character" w:customStyle="1" w:styleId="CommentSubjectChar">
    <w:name w:val="Comment Subject Char"/>
    <w:basedOn w:val="CommentTextChar"/>
    <w:link w:val="CommentSubject"/>
    <w:uiPriority w:val="99"/>
    <w:semiHidden/>
    <w:rsid w:val="004C0383"/>
    <w:rPr>
      <w:b/>
      <w:bCs/>
      <w:sz w:val="20"/>
      <w:szCs w:val="20"/>
    </w:rPr>
  </w:style>
  <w:style w:type="character" w:styleId="HTMLCite">
    <w:name w:val="HTML Cite"/>
    <w:basedOn w:val="DefaultParagraphFont"/>
    <w:uiPriority w:val="99"/>
    <w:semiHidden/>
    <w:unhideWhenUsed/>
    <w:rsid w:val="005855D9"/>
    <w:rPr>
      <w:i/>
      <w:iCs/>
    </w:rPr>
  </w:style>
  <w:style w:type="paragraph" w:customStyle="1" w:styleId="contributor">
    <w:name w:val="contributor"/>
    <w:basedOn w:val="Normal"/>
    <w:rsid w:val="005855D9"/>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ame">
    <w:name w:val="name"/>
    <w:basedOn w:val="DefaultParagraphFont"/>
    <w:rsid w:val="005855D9"/>
  </w:style>
  <w:style w:type="character" w:styleId="FollowedHyperlink">
    <w:name w:val="FollowedHyperlink"/>
    <w:basedOn w:val="DefaultParagraphFont"/>
    <w:uiPriority w:val="99"/>
    <w:semiHidden/>
    <w:unhideWhenUsed/>
    <w:rsid w:val="00C80518"/>
    <w:rPr>
      <w:color w:val="954F72" w:themeColor="followedHyperlink"/>
      <w:u w:val="single"/>
    </w:rPr>
  </w:style>
  <w:style w:type="character" w:styleId="Mention">
    <w:name w:val="Mention"/>
    <w:basedOn w:val="DefaultParagraphFont"/>
    <w:uiPriority w:val="99"/>
    <w:unhideWhenUsed/>
    <w:rsid w:val="0031053E"/>
    <w:rPr>
      <w:color w:val="2B579A"/>
      <w:shd w:val="clear" w:color="auto" w:fill="E1DFDD"/>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4Char">
    <w:name w:val="Heading 4 Char"/>
    <w:basedOn w:val="DefaultParagraphFont"/>
    <w:link w:val="Heading4"/>
    <w:uiPriority w:val="9"/>
    <w:rsid w:val="006E565B"/>
    <w:rPr>
      <w:rFonts w:asciiTheme="majorHAnsi" w:eastAsiaTheme="majorEastAsia" w:hAnsiTheme="majorHAnsi" w:cstheme="majorBidi"/>
      <w:i/>
      <w:iCs/>
      <w:color w:val="2F5496" w:themeColor="accent1" w:themeShade="BF"/>
    </w:rPr>
  </w:style>
  <w:style w:type="paragraph" w:styleId="EndnoteText">
    <w:name w:val="endnote text"/>
    <w:basedOn w:val="Normal"/>
    <w:link w:val="EndnoteTextChar"/>
    <w:uiPriority w:val="99"/>
    <w:semiHidden/>
    <w:unhideWhenUsed/>
    <w:rsid w:val="007E2A8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E2A89"/>
    <w:rPr>
      <w:sz w:val="20"/>
      <w:szCs w:val="20"/>
    </w:rPr>
  </w:style>
  <w:style w:type="character" w:styleId="EndnoteReference">
    <w:name w:val="endnote reference"/>
    <w:basedOn w:val="DefaultParagraphFont"/>
    <w:uiPriority w:val="99"/>
    <w:semiHidden/>
    <w:unhideWhenUsed/>
    <w:rsid w:val="007E2A89"/>
    <w:rPr>
      <w:vertAlign w:val="superscript"/>
    </w:rPr>
  </w:style>
  <w:style w:type="paragraph" w:styleId="Bibliography">
    <w:name w:val="Bibliography"/>
    <w:basedOn w:val="Normal"/>
    <w:next w:val="Normal"/>
    <w:uiPriority w:val="37"/>
    <w:unhideWhenUsed/>
    <w:rsid w:val="00B8585A"/>
  </w:style>
  <w:style w:type="paragraph" w:styleId="Caption">
    <w:name w:val="caption"/>
    <w:basedOn w:val="Normal"/>
    <w:next w:val="Normal"/>
    <w:uiPriority w:val="35"/>
    <w:unhideWhenUsed/>
    <w:qFormat/>
    <w:rsid w:val="00C65664"/>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48880">
      <w:bodyDiv w:val="1"/>
      <w:marLeft w:val="0"/>
      <w:marRight w:val="0"/>
      <w:marTop w:val="0"/>
      <w:marBottom w:val="0"/>
      <w:divBdr>
        <w:top w:val="none" w:sz="0" w:space="0" w:color="auto"/>
        <w:left w:val="none" w:sz="0" w:space="0" w:color="auto"/>
        <w:bottom w:val="none" w:sz="0" w:space="0" w:color="auto"/>
        <w:right w:val="none" w:sz="0" w:space="0" w:color="auto"/>
      </w:divBdr>
    </w:div>
    <w:div w:id="40518787">
      <w:bodyDiv w:val="1"/>
      <w:marLeft w:val="0"/>
      <w:marRight w:val="0"/>
      <w:marTop w:val="0"/>
      <w:marBottom w:val="0"/>
      <w:divBdr>
        <w:top w:val="none" w:sz="0" w:space="0" w:color="auto"/>
        <w:left w:val="none" w:sz="0" w:space="0" w:color="auto"/>
        <w:bottom w:val="none" w:sz="0" w:space="0" w:color="auto"/>
        <w:right w:val="none" w:sz="0" w:space="0" w:color="auto"/>
      </w:divBdr>
    </w:div>
    <w:div w:id="60300975">
      <w:bodyDiv w:val="1"/>
      <w:marLeft w:val="0"/>
      <w:marRight w:val="0"/>
      <w:marTop w:val="0"/>
      <w:marBottom w:val="0"/>
      <w:divBdr>
        <w:top w:val="none" w:sz="0" w:space="0" w:color="auto"/>
        <w:left w:val="none" w:sz="0" w:space="0" w:color="auto"/>
        <w:bottom w:val="none" w:sz="0" w:space="0" w:color="auto"/>
        <w:right w:val="none" w:sz="0" w:space="0" w:color="auto"/>
      </w:divBdr>
    </w:div>
    <w:div w:id="105195635">
      <w:bodyDiv w:val="1"/>
      <w:marLeft w:val="0"/>
      <w:marRight w:val="0"/>
      <w:marTop w:val="0"/>
      <w:marBottom w:val="0"/>
      <w:divBdr>
        <w:top w:val="none" w:sz="0" w:space="0" w:color="auto"/>
        <w:left w:val="none" w:sz="0" w:space="0" w:color="auto"/>
        <w:bottom w:val="none" w:sz="0" w:space="0" w:color="auto"/>
        <w:right w:val="none" w:sz="0" w:space="0" w:color="auto"/>
      </w:divBdr>
    </w:div>
    <w:div w:id="176585034">
      <w:bodyDiv w:val="1"/>
      <w:marLeft w:val="0"/>
      <w:marRight w:val="0"/>
      <w:marTop w:val="0"/>
      <w:marBottom w:val="0"/>
      <w:divBdr>
        <w:top w:val="none" w:sz="0" w:space="0" w:color="auto"/>
        <w:left w:val="none" w:sz="0" w:space="0" w:color="auto"/>
        <w:bottom w:val="none" w:sz="0" w:space="0" w:color="auto"/>
        <w:right w:val="none" w:sz="0" w:space="0" w:color="auto"/>
      </w:divBdr>
    </w:div>
    <w:div w:id="215557328">
      <w:bodyDiv w:val="1"/>
      <w:marLeft w:val="0"/>
      <w:marRight w:val="0"/>
      <w:marTop w:val="0"/>
      <w:marBottom w:val="0"/>
      <w:divBdr>
        <w:top w:val="none" w:sz="0" w:space="0" w:color="auto"/>
        <w:left w:val="none" w:sz="0" w:space="0" w:color="auto"/>
        <w:bottom w:val="none" w:sz="0" w:space="0" w:color="auto"/>
        <w:right w:val="none" w:sz="0" w:space="0" w:color="auto"/>
      </w:divBdr>
    </w:div>
    <w:div w:id="220601252">
      <w:bodyDiv w:val="1"/>
      <w:marLeft w:val="0"/>
      <w:marRight w:val="0"/>
      <w:marTop w:val="0"/>
      <w:marBottom w:val="0"/>
      <w:divBdr>
        <w:top w:val="none" w:sz="0" w:space="0" w:color="auto"/>
        <w:left w:val="none" w:sz="0" w:space="0" w:color="auto"/>
        <w:bottom w:val="none" w:sz="0" w:space="0" w:color="auto"/>
        <w:right w:val="none" w:sz="0" w:space="0" w:color="auto"/>
      </w:divBdr>
    </w:div>
    <w:div w:id="283394137">
      <w:bodyDiv w:val="1"/>
      <w:marLeft w:val="0"/>
      <w:marRight w:val="0"/>
      <w:marTop w:val="0"/>
      <w:marBottom w:val="0"/>
      <w:divBdr>
        <w:top w:val="none" w:sz="0" w:space="0" w:color="auto"/>
        <w:left w:val="none" w:sz="0" w:space="0" w:color="auto"/>
        <w:bottom w:val="none" w:sz="0" w:space="0" w:color="auto"/>
        <w:right w:val="none" w:sz="0" w:space="0" w:color="auto"/>
      </w:divBdr>
    </w:div>
    <w:div w:id="284121632">
      <w:bodyDiv w:val="1"/>
      <w:marLeft w:val="0"/>
      <w:marRight w:val="0"/>
      <w:marTop w:val="0"/>
      <w:marBottom w:val="0"/>
      <w:divBdr>
        <w:top w:val="none" w:sz="0" w:space="0" w:color="auto"/>
        <w:left w:val="none" w:sz="0" w:space="0" w:color="auto"/>
        <w:bottom w:val="none" w:sz="0" w:space="0" w:color="auto"/>
        <w:right w:val="none" w:sz="0" w:space="0" w:color="auto"/>
      </w:divBdr>
    </w:div>
    <w:div w:id="300312607">
      <w:bodyDiv w:val="1"/>
      <w:marLeft w:val="0"/>
      <w:marRight w:val="0"/>
      <w:marTop w:val="0"/>
      <w:marBottom w:val="0"/>
      <w:divBdr>
        <w:top w:val="none" w:sz="0" w:space="0" w:color="auto"/>
        <w:left w:val="none" w:sz="0" w:space="0" w:color="auto"/>
        <w:bottom w:val="none" w:sz="0" w:space="0" w:color="auto"/>
        <w:right w:val="none" w:sz="0" w:space="0" w:color="auto"/>
      </w:divBdr>
    </w:div>
    <w:div w:id="308368733">
      <w:bodyDiv w:val="1"/>
      <w:marLeft w:val="0"/>
      <w:marRight w:val="0"/>
      <w:marTop w:val="0"/>
      <w:marBottom w:val="0"/>
      <w:divBdr>
        <w:top w:val="none" w:sz="0" w:space="0" w:color="auto"/>
        <w:left w:val="none" w:sz="0" w:space="0" w:color="auto"/>
        <w:bottom w:val="none" w:sz="0" w:space="0" w:color="auto"/>
        <w:right w:val="none" w:sz="0" w:space="0" w:color="auto"/>
      </w:divBdr>
    </w:div>
    <w:div w:id="309596084">
      <w:bodyDiv w:val="1"/>
      <w:marLeft w:val="0"/>
      <w:marRight w:val="0"/>
      <w:marTop w:val="0"/>
      <w:marBottom w:val="0"/>
      <w:divBdr>
        <w:top w:val="none" w:sz="0" w:space="0" w:color="auto"/>
        <w:left w:val="none" w:sz="0" w:space="0" w:color="auto"/>
        <w:bottom w:val="none" w:sz="0" w:space="0" w:color="auto"/>
        <w:right w:val="none" w:sz="0" w:space="0" w:color="auto"/>
      </w:divBdr>
    </w:div>
    <w:div w:id="311565064">
      <w:bodyDiv w:val="1"/>
      <w:marLeft w:val="0"/>
      <w:marRight w:val="0"/>
      <w:marTop w:val="0"/>
      <w:marBottom w:val="0"/>
      <w:divBdr>
        <w:top w:val="none" w:sz="0" w:space="0" w:color="auto"/>
        <w:left w:val="none" w:sz="0" w:space="0" w:color="auto"/>
        <w:bottom w:val="none" w:sz="0" w:space="0" w:color="auto"/>
        <w:right w:val="none" w:sz="0" w:space="0" w:color="auto"/>
      </w:divBdr>
    </w:div>
    <w:div w:id="360135736">
      <w:bodyDiv w:val="1"/>
      <w:marLeft w:val="0"/>
      <w:marRight w:val="0"/>
      <w:marTop w:val="0"/>
      <w:marBottom w:val="0"/>
      <w:divBdr>
        <w:top w:val="none" w:sz="0" w:space="0" w:color="auto"/>
        <w:left w:val="none" w:sz="0" w:space="0" w:color="auto"/>
        <w:bottom w:val="none" w:sz="0" w:space="0" w:color="auto"/>
        <w:right w:val="none" w:sz="0" w:space="0" w:color="auto"/>
      </w:divBdr>
    </w:div>
    <w:div w:id="360519527">
      <w:bodyDiv w:val="1"/>
      <w:marLeft w:val="0"/>
      <w:marRight w:val="0"/>
      <w:marTop w:val="0"/>
      <w:marBottom w:val="0"/>
      <w:divBdr>
        <w:top w:val="none" w:sz="0" w:space="0" w:color="auto"/>
        <w:left w:val="none" w:sz="0" w:space="0" w:color="auto"/>
        <w:bottom w:val="none" w:sz="0" w:space="0" w:color="auto"/>
        <w:right w:val="none" w:sz="0" w:space="0" w:color="auto"/>
      </w:divBdr>
    </w:div>
    <w:div w:id="408114370">
      <w:bodyDiv w:val="1"/>
      <w:marLeft w:val="0"/>
      <w:marRight w:val="0"/>
      <w:marTop w:val="0"/>
      <w:marBottom w:val="0"/>
      <w:divBdr>
        <w:top w:val="none" w:sz="0" w:space="0" w:color="auto"/>
        <w:left w:val="none" w:sz="0" w:space="0" w:color="auto"/>
        <w:bottom w:val="none" w:sz="0" w:space="0" w:color="auto"/>
        <w:right w:val="none" w:sz="0" w:space="0" w:color="auto"/>
      </w:divBdr>
    </w:div>
    <w:div w:id="414515436">
      <w:bodyDiv w:val="1"/>
      <w:marLeft w:val="0"/>
      <w:marRight w:val="0"/>
      <w:marTop w:val="0"/>
      <w:marBottom w:val="0"/>
      <w:divBdr>
        <w:top w:val="none" w:sz="0" w:space="0" w:color="auto"/>
        <w:left w:val="none" w:sz="0" w:space="0" w:color="auto"/>
        <w:bottom w:val="none" w:sz="0" w:space="0" w:color="auto"/>
        <w:right w:val="none" w:sz="0" w:space="0" w:color="auto"/>
      </w:divBdr>
    </w:div>
    <w:div w:id="425618630">
      <w:bodyDiv w:val="1"/>
      <w:marLeft w:val="0"/>
      <w:marRight w:val="0"/>
      <w:marTop w:val="0"/>
      <w:marBottom w:val="0"/>
      <w:divBdr>
        <w:top w:val="none" w:sz="0" w:space="0" w:color="auto"/>
        <w:left w:val="none" w:sz="0" w:space="0" w:color="auto"/>
        <w:bottom w:val="none" w:sz="0" w:space="0" w:color="auto"/>
        <w:right w:val="none" w:sz="0" w:space="0" w:color="auto"/>
      </w:divBdr>
    </w:div>
    <w:div w:id="486435751">
      <w:bodyDiv w:val="1"/>
      <w:marLeft w:val="0"/>
      <w:marRight w:val="0"/>
      <w:marTop w:val="0"/>
      <w:marBottom w:val="0"/>
      <w:divBdr>
        <w:top w:val="none" w:sz="0" w:space="0" w:color="auto"/>
        <w:left w:val="none" w:sz="0" w:space="0" w:color="auto"/>
        <w:bottom w:val="none" w:sz="0" w:space="0" w:color="auto"/>
        <w:right w:val="none" w:sz="0" w:space="0" w:color="auto"/>
      </w:divBdr>
    </w:div>
    <w:div w:id="496844735">
      <w:bodyDiv w:val="1"/>
      <w:marLeft w:val="0"/>
      <w:marRight w:val="0"/>
      <w:marTop w:val="0"/>
      <w:marBottom w:val="0"/>
      <w:divBdr>
        <w:top w:val="none" w:sz="0" w:space="0" w:color="auto"/>
        <w:left w:val="none" w:sz="0" w:space="0" w:color="auto"/>
        <w:bottom w:val="none" w:sz="0" w:space="0" w:color="auto"/>
        <w:right w:val="none" w:sz="0" w:space="0" w:color="auto"/>
      </w:divBdr>
    </w:div>
    <w:div w:id="526069948">
      <w:bodyDiv w:val="1"/>
      <w:marLeft w:val="0"/>
      <w:marRight w:val="0"/>
      <w:marTop w:val="0"/>
      <w:marBottom w:val="0"/>
      <w:divBdr>
        <w:top w:val="none" w:sz="0" w:space="0" w:color="auto"/>
        <w:left w:val="none" w:sz="0" w:space="0" w:color="auto"/>
        <w:bottom w:val="none" w:sz="0" w:space="0" w:color="auto"/>
        <w:right w:val="none" w:sz="0" w:space="0" w:color="auto"/>
      </w:divBdr>
    </w:div>
    <w:div w:id="527106484">
      <w:bodyDiv w:val="1"/>
      <w:marLeft w:val="0"/>
      <w:marRight w:val="0"/>
      <w:marTop w:val="0"/>
      <w:marBottom w:val="0"/>
      <w:divBdr>
        <w:top w:val="none" w:sz="0" w:space="0" w:color="auto"/>
        <w:left w:val="none" w:sz="0" w:space="0" w:color="auto"/>
        <w:bottom w:val="none" w:sz="0" w:space="0" w:color="auto"/>
        <w:right w:val="none" w:sz="0" w:space="0" w:color="auto"/>
      </w:divBdr>
    </w:div>
    <w:div w:id="573200932">
      <w:bodyDiv w:val="1"/>
      <w:marLeft w:val="0"/>
      <w:marRight w:val="0"/>
      <w:marTop w:val="0"/>
      <w:marBottom w:val="0"/>
      <w:divBdr>
        <w:top w:val="none" w:sz="0" w:space="0" w:color="auto"/>
        <w:left w:val="none" w:sz="0" w:space="0" w:color="auto"/>
        <w:bottom w:val="none" w:sz="0" w:space="0" w:color="auto"/>
        <w:right w:val="none" w:sz="0" w:space="0" w:color="auto"/>
      </w:divBdr>
    </w:div>
    <w:div w:id="581643115">
      <w:bodyDiv w:val="1"/>
      <w:marLeft w:val="0"/>
      <w:marRight w:val="0"/>
      <w:marTop w:val="0"/>
      <w:marBottom w:val="0"/>
      <w:divBdr>
        <w:top w:val="none" w:sz="0" w:space="0" w:color="auto"/>
        <w:left w:val="none" w:sz="0" w:space="0" w:color="auto"/>
        <w:bottom w:val="none" w:sz="0" w:space="0" w:color="auto"/>
        <w:right w:val="none" w:sz="0" w:space="0" w:color="auto"/>
      </w:divBdr>
    </w:div>
    <w:div w:id="586764387">
      <w:bodyDiv w:val="1"/>
      <w:marLeft w:val="0"/>
      <w:marRight w:val="0"/>
      <w:marTop w:val="0"/>
      <w:marBottom w:val="0"/>
      <w:divBdr>
        <w:top w:val="none" w:sz="0" w:space="0" w:color="auto"/>
        <w:left w:val="none" w:sz="0" w:space="0" w:color="auto"/>
        <w:bottom w:val="none" w:sz="0" w:space="0" w:color="auto"/>
        <w:right w:val="none" w:sz="0" w:space="0" w:color="auto"/>
      </w:divBdr>
    </w:div>
    <w:div w:id="595793541">
      <w:bodyDiv w:val="1"/>
      <w:marLeft w:val="0"/>
      <w:marRight w:val="0"/>
      <w:marTop w:val="0"/>
      <w:marBottom w:val="0"/>
      <w:divBdr>
        <w:top w:val="none" w:sz="0" w:space="0" w:color="auto"/>
        <w:left w:val="none" w:sz="0" w:space="0" w:color="auto"/>
        <w:bottom w:val="none" w:sz="0" w:space="0" w:color="auto"/>
        <w:right w:val="none" w:sz="0" w:space="0" w:color="auto"/>
      </w:divBdr>
    </w:div>
    <w:div w:id="667515153">
      <w:bodyDiv w:val="1"/>
      <w:marLeft w:val="0"/>
      <w:marRight w:val="0"/>
      <w:marTop w:val="0"/>
      <w:marBottom w:val="0"/>
      <w:divBdr>
        <w:top w:val="none" w:sz="0" w:space="0" w:color="auto"/>
        <w:left w:val="none" w:sz="0" w:space="0" w:color="auto"/>
        <w:bottom w:val="none" w:sz="0" w:space="0" w:color="auto"/>
        <w:right w:val="none" w:sz="0" w:space="0" w:color="auto"/>
      </w:divBdr>
    </w:div>
    <w:div w:id="696539244">
      <w:bodyDiv w:val="1"/>
      <w:marLeft w:val="0"/>
      <w:marRight w:val="0"/>
      <w:marTop w:val="0"/>
      <w:marBottom w:val="0"/>
      <w:divBdr>
        <w:top w:val="none" w:sz="0" w:space="0" w:color="auto"/>
        <w:left w:val="none" w:sz="0" w:space="0" w:color="auto"/>
        <w:bottom w:val="none" w:sz="0" w:space="0" w:color="auto"/>
        <w:right w:val="none" w:sz="0" w:space="0" w:color="auto"/>
      </w:divBdr>
    </w:div>
    <w:div w:id="718171359">
      <w:bodyDiv w:val="1"/>
      <w:marLeft w:val="0"/>
      <w:marRight w:val="0"/>
      <w:marTop w:val="0"/>
      <w:marBottom w:val="0"/>
      <w:divBdr>
        <w:top w:val="none" w:sz="0" w:space="0" w:color="auto"/>
        <w:left w:val="none" w:sz="0" w:space="0" w:color="auto"/>
        <w:bottom w:val="none" w:sz="0" w:space="0" w:color="auto"/>
        <w:right w:val="none" w:sz="0" w:space="0" w:color="auto"/>
      </w:divBdr>
    </w:div>
    <w:div w:id="718553601">
      <w:bodyDiv w:val="1"/>
      <w:marLeft w:val="0"/>
      <w:marRight w:val="0"/>
      <w:marTop w:val="0"/>
      <w:marBottom w:val="0"/>
      <w:divBdr>
        <w:top w:val="none" w:sz="0" w:space="0" w:color="auto"/>
        <w:left w:val="none" w:sz="0" w:space="0" w:color="auto"/>
        <w:bottom w:val="none" w:sz="0" w:space="0" w:color="auto"/>
        <w:right w:val="none" w:sz="0" w:space="0" w:color="auto"/>
      </w:divBdr>
    </w:div>
    <w:div w:id="737017888">
      <w:bodyDiv w:val="1"/>
      <w:marLeft w:val="0"/>
      <w:marRight w:val="0"/>
      <w:marTop w:val="0"/>
      <w:marBottom w:val="0"/>
      <w:divBdr>
        <w:top w:val="none" w:sz="0" w:space="0" w:color="auto"/>
        <w:left w:val="none" w:sz="0" w:space="0" w:color="auto"/>
        <w:bottom w:val="none" w:sz="0" w:space="0" w:color="auto"/>
        <w:right w:val="none" w:sz="0" w:space="0" w:color="auto"/>
      </w:divBdr>
    </w:div>
    <w:div w:id="749932835">
      <w:bodyDiv w:val="1"/>
      <w:marLeft w:val="0"/>
      <w:marRight w:val="0"/>
      <w:marTop w:val="0"/>
      <w:marBottom w:val="0"/>
      <w:divBdr>
        <w:top w:val="none" w:sz="0" w:space="0" w:color="auto"/>
        <w:left w:val="none" w:sz="0" w:space="0" w:color="auto"/>
        <w:bottom w:val="none" w:sz="0" w:space="0" w:color="auto"/>
        <w:right w:val="none" w:sz="0" w:space="0" w:color="auto"/>
      </w:divBdr>
    </w:div>
    <w:div w:id="767429195">
      <w:bodyDiv w:val="1"/>
      <w:marLeft w:val="0"/>
      <w:marRight w:val="0"/>
      <w:marTop w:val="0"/>
      <w:marBottom w:val="0"/>
      <w:divBdr>
        <w:top w:val="none" w:sz="0" w:space="0" w:color="auto"/>
        <w:left w:val="none" w:sz="0" w:space="0" w:color="auto"/>
        <w:bottom w:val="none" w:sz="0" w:space="0" w:color="auto"/>
        <w:right w:val="none" w:sz="0" w:space="0" w:color="auto"/>
      </w:divBdr>
    </w:div>
    <w:div w:id="770514487">
      <w:bodyDiv w:val="1"/>
      <w:marLeft w:val="0"/>
      <w:marRight w:val="0"/>
      <w:marTop w:val="0"/>
      <w:marBottom w:val="0"/>
      <w:divBdr>
        <w:top w:val="none" w:sz="0" w:space="0" w:color="auto"/>
        <w:left w:val="none" w:sz="0" w:space="0" w:color="auto"/>
        <w:bottom w:val="none" w:sz="0" w:space="0" w:color="auto"/>
        <w:right w:val="none" w:sz="0" w:space="0" w:color="auto"/>
      </w:divBdr>
    </w:div>
    <w:div w:id="802427624">
      <w:bodyDiv w:val="1"/>
      <w:marLeft w:val="0"/>
      <w:marRight w:val="0"/>
      <w:marTop w:val="0"/>
      <w:marBottom w:val="0"/>
      <w:divBdr>
        <w:top w:val="none" w:sz="0" w:space="0" w:color="auto"/>
        <w:left w:val="none" w:sz="0" w:space="0" w:color="auto"/>
        <w:bottom w:val="none" w:sz="0" w:space="0" w:color="auto"/>
        <w:right w:val="none" w:sz="0" w:space="0" w:color="auto"/>
      </w:divBdr>
    </w:div>
    <w:div w:id="808787845">
      <w:bodyDiv w:val="1"/>
      <w:marLeft w:val="0"/>
      <w:marRight w:val="0"/>
      <w:marTop w:val="0"/>
      <w:marBottom w:val="0"/>
      <w:divBdr>
        <w:top w:val="none" w:sz="0" w:space="0" w:color="auto"/>
        <w:left w:val="none" w:sz="0" w:space="0" w:color="auto"/>
        <w:bottom w:val="none" w:sz="0" w:space="0" w:color="auto"/>
        <w:right w:val="none" w:sz="0" w:space="0" w:color="auto"/>
      </w:divBdr>
    </w:div>
    <w:div w:id="828060275">
      <w:bodyDiv w:val="1"/>
      <w:marLeft w:val="0"/>
      <w:marRight w:val="0"/>
      <w:marTop w:val="0"/>
      <w:marBottom w:val="0"/>
      <w:divBdr>
        <w:top w:val="none" w:sz="0" w:space="0" w:color="auto"/>
        <w:left w:val="none" w:sz="0" w:space="0" w:color="auto"/>
        <w:bottom w:val="none" w:sz="0" w:space="0" w:color="auto"/>
        <w:right w:val="none" w:sz="0" w:space="0" w:color="auto"/>
      </w:divBdr>
    </w:div>
    <w:div w:id="841353762">
      <w:bodyDiv w:val="1"/>
      <w:marLeft w:val="0"/>
      <w:marRight w:val="0"/>
      <w:marTop w:val="0"/>
      <w:marBottom w:val="0"/>
      <w:divBdr>
        <w:top w:val="none" w:sz="0" w:space="0" w:color="auto"/>
        <w:left w:val="none" w:sz="0" w:space="0" w:color="auto"/>
        <w:bottom w:val="none" w:sz="0" w:space="0" w:color="auto"/>
        <w:right w:val="none" w:sz="0" w:space="0" w:color="auto"/>
      </w:divBdr>
    </w:div>
    <w:div w:id="853568791">
      <w:bodyDiv w:val="1"/>
      <w:marLeft w:val="0"/>
      <w:marRight w:val="0"/>
      <w:marTop w:val="0"/>
      <w:marBottom w:val="0"/>
      <w:divBdr>
        <w:top w:val="none" w:sz="0" w:space="0" w:color="auto"/>
        <w:left w:val="none" w:sz="0" w:space="0" w:color="auto"/>
        <w:bottom w:val="none" w:sz="0" w:space="0" w:color="auto"/>
        <w:right w:val="none" w:sz="0" w:space="0" w:color="auto"/>
      </w:divBdr>
    </w:div>
    <w:div w:id="858785225">
      <w:bodyDiv w:val="1"/>
      <w:marLeft w:val="0"/>
      <w:marRight w:val="0"/>
      <w:marTop w:val="0"/>
      <w:marBottom w:val="0"/>
      <w:divBdr>
        <w:top w:val="none" w:sz="0" w:space="0" w:color="auto"/>
        <w:left w:val="none" w:sz="0" w:space="0" w:color="auto"/>
        <w:bottom w:val="none" w:sz="0" w:space="0" w:color="auto"/>
        <w:right w:val="none" w:sz="0" w:space="0" w:color="auto"/>
      </w:divBdr>
      <w:divsChild>
        <w:div w:id="185751322">
          <w:marLeft w:val="0"/>
          <w:marRight w:val="0"/>
          <w:marTop w:val="0"/>
          <w:marBottom w:val="0"/>
          <w:divBdr>
            <w:top w:val="none" w:sz="0" w:space="0" w:color="auto"/>
            <w:left w:val="none" w:sz="0" w:space="0" w:color="auto"/>
            <w:bottom w:val="none" w:sz="0" w:space="0" w:color="auto"/>
            <w:right w:val="none" w:sz="0" w:space="0" w:color="auto"/>
          </w:divBdr>
        </w:div>
        <w:div w:id="753480739">
          <w:marLeft w:val="0"/>
          <w:marRight w:val="0"/>
          <w:marTop w:val="0"/>
          <w:marBottom w:val="0"/>
          <w:divBdr>
            <w:top w:val="none" w:sz="0" w:space="0" w:color="auto"/>
            <w:left w:val="none" w:sz="0" w:space="0" w:color="auto"/>
            <w:bottom w:val="none" w:sz="0" w:space="0" w:color="auto"/>
            <w:right w:val="none" w:sz="0" w:space="0" w:color="auto"/>
          </w:divBdr>
          <w:divsChild>
            <w:div w:id="305862222">
              <w:marLeft w:val="0"/>
              <w:marRight w:val="0"/>
              <w:marTop w:val="0"/>
              <w:marBottom w:val="0"/>
              <w:divBdr>
                <w:top w:val="none" w:sz="0" w:space="0" w:color="auto"/>
                <w:left w:val="none" w:sz="0" w:space="0" w:color="auto"/>
                <w:bottom w:val="none" w:sz="0" w:space="0" w:color="auto"/>
                <w:right w:val="none" w:sz="0" w:space="0" w:color="auto"/>
              </w:divBdr>
              <w:divsChild>
                <w:div w:id="722757896">
                  <w:marLeft w:val="0"/>
                  <w:marRight w:val="0"/>
                  <w:marTop w:val="0"/>
                  <w:marBottom w:val="0"/>
                  <w:divBdr>
                    <w:top w:val="none" w:sz="0" w:space="0" w:color="auto"/>
                    <w:left w:val="none" w:sz="0" w:space="0" w:color="auto"/>
                    <w:bottom w:val="none" w:sz="0" w:space="0" w:color="auto"/>
                    <w:right w:val="none" w:sz="0" w:space="0" w:color="auto"/>
                  </w:divBdr>
                  <w:divsChild>
                    <w:div w:id="73865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9242953">
      <w:bodyDiv w:val="1"/>
      <w:marLeft w:val="0"/>
      <w:marRight w:val="0"/>
      <w:marTop w:val="0"/>
      <w:marBottom w:val="0"/>
      <w:divBdr>
        <w:top w:val="none" w:sz="0" w:space="0" w:color="auto"/>
        <w:left w:val="none" w:sz="0" w:space="0" w:color="auto"/>
        <w:bottom w:val="none" w:sz="0" w:space="0" w:color="auto"/>
        <w:right w:val="none" w:sz="0" w:space="0" w:color="auto"/>
      </w:divBdr>
    </w:div>
    <w:div w:id="913398195">
      <w:bodyDiv w:val="1"/>
      <w:marLeft w:val="0"/>
      <w:marRight w:val="0"/>
      <w:marTop w:val="0"/>
      <w:marBottom w:val="0"/>
      <w:divBdr>
        <w:top w:val="none" w:sz="0" w:space="0" w:color="auto"/>
        <w:left w:val="none" w:sz="0" w:space="0" w:color="auto"/>
        <w:bottom w:val="none" w:sz="0" w:space="0" w:color="auto"/>
        <w:right w:val="none" w:sz="0" w:space="0" w:color="auto"/>
      </w:divBdr>
    </w:div>
    <w:div w:id="929856454">
      <w:bodyDiv w:val="1"/>
      <w:marLeft w:val="0"/>
      <w:marRight w:val="0"/>
      <w:marTop w:val="0"/>
      <w:marBottom w:val="0"/>
      <w:divBdr>
        <w:top w:val="none" w:sz="0" w:space="0" w:color="auto"/>
        <w:left w:val="none" w:sz="0" w:space="0" w:color="auto"/>
        <w:bottom w:val="none" w:sz="0" w:space="0" w:color="auto"/>
        <w:right w:val="none" w:sz="0" w:space="0" w:color="auto"/>
      </w:divBdr>
    </w:div>
    <w:div w:id="942998186">
      <w:bodyDiv w:val="1"/>
      <w:marLeft w:val="0"/>
      <w:marRight w:val="0"/>
      <w:marTop w:val="0"/>
      <w:marBottom w:val="0"/>
      <w:divBdr>
        <w:top w:val="none" w:sz="0" w:space="0" w:color="auto"/>
        <w:left w:val="none" w:sz="0" w:space="0" w:color="auto"/>
        <w:bottom w:val="none" w:sz="0" w:space="0" w:color="auto"/>
        <w:right w:val="none" w:sz="0" w:space="0" w:color="auto"/>
      </w:divBdr>
    </w:div>
    <w:div w:id="950551035">
      <w:bodyDiv w:val="1"/>
      <w:marLeft w:val="0"/>
      <w:marRight w:val="0"/>
      <w:marTop w:val="0"/>
      <w:marBottom w:val="0"/>
      <w:divBdr>
        <w:top w:val="none" w:sz="0" w:space="0" w:color="auto"/>
        <w:left w:val="none" w:sz="0" w:space="0" w:color="auto"/>
        <w:bottom w:val="none" w:sz="0" w:space="0" w:color="auto"/>
        <w:right w:val="none" w:sz="0" w:space="0" w:color="auto"/>
      </w:divBdr>
    </w:div>
    <w:div w:id="951520833">
      <w:bodyDiv w:val="1"/>
      <w:marLeft w:val="0"/>
      <w:marRight w:val="0"/>
      <w:marTop w:val="0"/>
      <w:marBottom w:val="0"/>
      <w:divBdr>
        <w:top w:val="none" w:sz="0" w:space="0" w:color="auto"/>
        <w:left w:val="none" w:sz="0" w:space="0" w:color="auto"/>
        <w:bottom w:val="none" w:sz="0" w:space="0" w:color="auto"/>
        <w:right w:val="none" w:sz="0" w:space="0" w:color="auto"/>
      </w:divBdr>
    </w:div>
    <w:div w:id="952201440">
      <w:bodyDiv w:val="1"/>
      <w:marLeft w:val="0"/>
      <w:marRight w:val="0"/>
      <w:marTop w:val="0"/>
      <w:marBottom w:val="0"/>
      <w:divBdr>
        <w:top w:val="none" w:sz="0" w:space="0" w:color="auto"/>
        <w:left w:val="none" w:sz="0" w:space="0" w:color="auto"/>
        <w:bottom w:val="none" w:sz="0" w:space="0" w:color="auto"/>
        <w:right w:val="none" w:sz="0" w:space="0" w:color="auto"/>
      </w:divBdr>
    </w:div>
    <w:div w:id="978341296">
      <w:bodyDiv w:val="1"/>
      <w:marLeft w:val="0"/>
      <w:marRight w:val="0"/>
      <w:marTop w:val="0"/>
      <w:marBottom w:val="0"/>
      <w:divBdr>
        <w:top w:val="none" w:sz="0" w:space="0" w:color="auto"/>
        <w:left w:val="none" w:sz="0" w:space="0" w:color="auto"/>
        <w:bottom w:val="none" w:sz="0" w:space="0" w:color="auto"/>
        <w:right w:val="none" w:sz="0" w:space="0" w:color="auto"/>
      </w:divBdr>
    </w:div>
    <w:div w:id="991565261">
      <w:bodyDiv w:val="1"/>
      <w:marLeft w:val="0"/>
      <w:marRight w:val="0"/>
      <w:marTop w:val="0"/>
      <w:marBottom w:val="0"/>
      <w:divBdr>
        <w:top w:val="none" w:sz="0" w:space="0" w:color="auto"/>
        <w:left w:val="none" w:sz="0" w:space="0" w:color="auto"/>
        <w:bottom w:val="none" w:sz="0" w:space="0" w:color="auto"/>
        <w:right w:val="none" w:sz="0" w:space="0" w:color="auto"/>
      </w:divBdr>
    </w:div>
    <w:div w:id="1006976006">
      <w:bodyDiv w:val="1"/>
      <w:marLeft w:val="0"/>
      <w:marRight w:val="0"/>
      <w:marTop w:val="0"/>
      <w:marBottom w:val="0"/>
      <w:divBdr>
        <w:top w:val="none" w:sz="0" w:space="0" w:color="auto"/>
        <w:left w:val="none" w:sz="0" w:space="0" w:color="auto"/>
        <w:bottom w:val="none" w:sz="0" w:space="0" w:color="auto"/>
        <w:right w:val="none" w:sz="0" w:space="0" w:color="auto"/>
      </w:divBdr>
    </w:div>
    <w:div w:id="1026447983">
      <w:bodyDiv w:val="1"/>
      <w:marLeft w:val="0"/>
      <w:marRight w:val="0"/>
      <w:marTop w:val="0"/>
      <w:marBottom w:val="0"/>
      <w:divBdr>
        <w:top w:val="none" w:sz="0" w:space="0" w:color="auto"/>
        <w:left w:val="none" w:sz="0" w:space="0" w:color="auto"/>
        <w:bottom w:val="none" w:sz="0" w:space="0" w:color="auto"/>
        <w:right w:val="none" w:sz="0" w:space="0" w:color="auto"/>
      </w:divBdr>
    </w:div>
    <w:div w:id="1045641981">
      <w:bodyDiv w:val="1"/>
      <w:marLeft w:val="0"/>
      <w:marRight w:val="0"/>
      <w:marTop w:val="0"/>
      <w:marBottom w:val="0"/>
      <w:divBdr>
        <w:top w:val="none" w:sz="0" w:space="0" w:color="auto"/>
        <w:left w:val="none" w:sz="0" w:space="0" w:color="auto"/>
        <w:bottom w:val="none" w:sz="0" w:space="0" w:color="auto"/>
        <w:right w:val="none" w:sz="0" w:space="0" w:color="auto"/>
      </w:divBdr>
    </w:div>
    <w:div w:id="1056516022">
      <w:bodyDiv w:val="1"/>
      <w:marLeft w:val="0"/>
      <w:marRight w:val="0"/>
      <w:marTop w:val="0"/>
      <w:marBottom w:val="0"/>
      <w:divBdr>
        <w:top w:val="none" w:sz="0" w:space="0" w:color="auto"/>
        <w:left w:val="none" w:sz="0" w:space="0" w:color="auto"/>
        <w:bottom w:val="none" w:sz="0" w:space="0" w:color="auto"/>
        <w:right w:val="none" w:sz="0" w:space="0" w:color="auto"/>
      </w:divBdr>
    </w:div>
    <w:div w:id="1077629864">
      <w:bodyDiv w:val="1"/>
      <w:marLeft w:val="0"/>
      <w:marRight w:val="0"/>
      <w:marTop w:val="0"/>
      <w:marBottom w:val="0"/>
      <w:divBdr>
        <w:top w:val="none" w:sz="0" w:space="0" w:color="auto"/>
        <w:left w:val="none" w:sz="0" w:space="0" w:color="auto"/>
        <w:bottom w:val="none" w:sz="0" w:space="0" w:color="auto"/>
        <w:right w:val="none" w:sz="0" w:space="0" w:color="auto"/>
      </w:divBdr>
    </w:div>
    <w:div w:id="1105150072">
      <w:bodyDiv w:val="1"/>
      <w:marLeft w:val="0"/>
      <w:marRight w:val="0"/>
      <w:marTop w:val="0"/>
      <w:marBottom w:val="0"/>
      <w:divBdr>
        <w:top w:val="none" w:sz="0" w:space="0" w:color="auto"/>
        <w:left w:val="none" w:sz="0" w:space="0" w:color="auto"/>
        <w:bottom w:val="none" w:sz="0" w:space="0" w:color="auto"/>
        <w:right w:val="none" w:sz="0" w:space="0" w:color="auto"/>
      </w:divBdr>
    </w:div>
    <w:div w:id="1105535993">
      <w:bodyDiv w:val="1"/>
      <w:marLeft w:val="0"/>
      <w:marRight w:val="0"/>
      <w:marTop w:val="0"/>
      <w:marBottom w:val="0"/>
      <w:divBdr>
        <w:top w:val="none" w:sz="0" w:space="0" w:color="auto"/>
        <w:left w:val="none" w:sz="0" w:space="0" w:color="auto"/>
        <w:bottom w:val="none" w:sz="0" w:space="0" w:color="auto"/>
        <w:right w:val="none" w:sz="0" w:space="0" w:color="auto"/>
      </w:divBdr>
    </w:div>
    <w:div w:id="1124806771">
      <w:bodyDiv w:val="1"/>
      <w:marLeft w:val="0"/>
      <w:marRight w:val="0"/>
      <w:marTop w:val="0"/>
      <w:marBottom w:val="0"/>
      <w:divBdr>
        <w:top w:val="none" w:sz="0" w:space="0" w:color="auto"/>
        <w:left w:val="none" w:sz="0" w:space="0" w:color="auto"/>
        <w:bottom w:val="none" w:sz="0" w:space="0" w:color="auto"/>
        <w:right w:val="none" w:sz="0" w:space="0" w:color="auto"/>
      </w:divBdr>
    </w:div>
    <w:div w:id="1127434386">
      <w:bodyDiv w:val="1"/>
      <w:marLeft w:val="0"/>
      <w:marRight w:val="0"/>
      <w:marTop w:val="0"/>
      <w:marBottom w:val="0"/>
      <w:divBdr>
        <w:top w:val="none" w:sz="0" w:space="0" w:color="auto"/>
        <w:left w:val="none" w:sz="0" w:space="0" w:color="auto"/>
        <w:bottom w:val="none" w:sz="0" w:space="0" w:color="auto"/>
        <w:right w:val="none" w:sz="0" w:space="0" w:color="auto"/>
      </w:divBdr>
    </w:div>
    <w:div w:id="1138764880">
      <w:bodyDiv w:val="1"/>
      <w:marLeft w:val="0"/>
      <w:marRight w:val="0"/>
      <w:marTop w:val="0"/>
      <w:marBottom w:val="0"/>
      <w:divBdr>
        <w:top w:val="none" w:sz="0" w:space="0" w:color="auto"/>
        <w:left w:val="none" w:sz="0" w:space="0" w:color="auto"/>
        <w:bottom w:val="none" w:sz="0" w:space="0" w:color="auto"/>
        <w:right w:val="none" w:sz="0" w:space="0" w:color="auto"/>
      </w:divBdr>
    </w:div>
    <w:div w:id="1160653025">
      <w:bodyDiv w:val="1"/>
      <w:marLeft w:val="0"/>
      <w:marRight w:val="0"/>
      <w:marTop w:val="0"/>
      <w:marBottom w:val="0"/>
      <w:divBdr>
        <w:top w:val="none" w:sz="0" w:space="0" w:color="auto"/>
        <w:left w:val="none" w:sz="0" w:space="0" w:color="auto"/>
        <w:bottom w:val="none" w:sz="0" w:space="0" w:color="auto"/>
        <w:right w:val="none" w:sz="0" w:space="0" w:color="auto"/>
      </w:divBdr>
    </w:div>
    <w:div w:id="1169558265">
      <w:bodyDiv w:val="1"/>
      <w:marLeft w:val="0"/>
      <w:marRight w:val="0"/>
      <w:marTop w:val="0"/>
      <w:marBottom w:val="0"/>
      <w:divBdr>
        <w:top w:val="none" w:sz="0" w:space="0" w:color="auto"/>
        <w:left w:val="none" w:sz="0" w:space="0" w:color="auto"/>
        <w:bottom w:val="none" w:sz="0" w:space="0" w:color="auto"/>
        <w:right w:val="none" w:sz="0" w:space="0" w:color="auto"/>
      </w:divBdr>
    </w:div>
    <w:div w:id="1188522909">
      <w:bodyDiv w:val="1"/>
      <w:marLeft w:val="0"/>
      <w:marRight w:val="0"/>
      <w:marTop w:val="0"/>
      <w:marBottom w:val="0"/>
      <w:divBdr>
        <w:top w:val="none" w:sz="0" w:space="0" w:color="auto"/>
        <w:left w:val="none" w:sz="0" w:space="0" w:color="auto"/>
        <w:bottom w:val="none" w:sz="0" w:space="0" w:color="auto"/>
        <w:right w:val="none" w:sz="0" w:space="0" w:color="auto"/>
      </w:divBdr>
    </w:div>
    <w:div w:id="1222211624">
      <w:bodyDiv w:val="1"/>
      <w:marLeft w:val="0"/>
      <w:marRight w:val="0"/>
      <w:marTop w:val="0"/>
      <w:marBottom w:val="0"/>
      <w:divBdr>
        <w:top w:val="none" w:sz="0" w:space="0" w:color="auto"/>
        <w:left w:val="none" w:sz="0" w:space="0" w:color="auto"/>
        <w:bottom w:val="none" w:sz="0" w:space="0" w:color="auto"/>
        <w:right w:val="none" w:sz="0" w:space="0" w:color="auto"/>
      </w:divBdr>
    </w:div>
    <w:div w:id="1260600571">
      <w:bodyDiv w:val="1"/>
      <w:marLeft w:val="0"/>
      <w:marRight w:val="0"/>
      <w:marTop w:val="0"/>
      <w:marBottom w:val="0"/>
      <w:divBdr>
        <w:top w:val="none" w:sz="0" w:space="0" w:color="auto"/>
        <w:left w:val="none" w:sz="0" w:space="0" w:color="auto"/>
        <w:bottom w:val="none" w:sz="0" w:space="0" w:color="auto"/>
        <w:right w:val="none" w:sz="0" w:space="0" w:color="auto"/>
      </w:divBdr>
    </w:div>
    <w:div w:id="1342078679">
      <w:bodyDiv w:val="1"/>
      <w:marLeft w:val="0"/>
      <w:marRight w:val="0"/>
      <w:marTop w:val="0"/>
      <w:marBottom w:val="0"/>
      <w:divBdr>
        <w:top w:val="none" w:sz="0" w:space="0" w:color="auto"/>
        <w:left w:val="none" w:sz="0" w:space="0" w:color="auto"/>
        <w:bottom w:val="none" w:sz="0" w:space="0" w:color="auto"/>
        <w:right w:val="none" w:sz="0" w:space="0" w:color="auto"/>
      </w:divBdr>
    </w:div>
    <w:div w:id="1357000791">
      <w:bodyDiv w:val="1"/>
      <w:marLeft w:val="0"/>
      <w:marRight w:val="0"/>
      <w:marTop w:val="0"/>
      <w:marBottom w:val="0"/>
      <w:divBdr>
        <w:top w:val="none" w:sz="0" w:space="0" w:color="auto"/>
        <w:left w:val="none" w:sz="0" w:space="0" w:color="auto"/>
        <w:bottom w:val="none" w:sz="0" w:space="0" w:color="auto"/>
        <w:right w:val="none" w:sz="0" w:space="0" w:color="auto"/>
      </w:divBdr>
    </w:div>
    <w:div w:id="1375425034">
      <w:bodyDiv w:val="1"/>
      <w:marLeft w:val="0"/>
      <w:marRight w:val="0"/>
      <w:marTop w:val="0"/>
      <w:marBottom w:val="0"/>
      <w:divBdr>
        <w:top w:val="none" w:sz="0" w:space="0" w:color="auto"/>
        <w:left w:val="none" w:sz="0" w:space="0" w:color="auto"/>
        <w:bottom w:val="none" w:sz="0" w:space="0" w:color="auto"/>
        <w:right w:val="none" w:sz="0" w:space="0" w:color="auto"/>
      </w:divBdr>
    </w:div>
    <w:div w:id="1396732506">
      <w:bodyDiv w:val="1"/>
      <w:marLeft w:val="0"/>
      <w:marRight w:val="0"/>
      <w:marTop w:val="0"/>
      <w:marBottom w:val="0"/>
      <w:divBdr>
        <w:top w:val="none" w:sz="0" w:space="0" w:color="auto"/>
        <w:left w:val="none" w:sz="0" w:space="0" w:color="auto"/>
        <w:bottom w:val="none" w:sz="0" w:space="0" w:color="auto"/>
        <w:right w:val="none" w:sz="0" w:space="0" w:color="auto"/>
      </w:divBdr>
    </w:div>
    <w:div w:id="1416854677">
      <w:bodyDiv w:val="1"/>
      <w:marLeft w:val="0"/>
      <w:marRight w:val="0"/>
      <w:marTop w:val="0"/>
      <w:marBottom w:val="0"/>
      <w:divBdr>
        <w:top w:val="none" w:sz="0" w:space="0" w:color="auto"/>
        <w:left w:val="none" w:sz="0" w:space="0" w:color="auto"/>
        <w:bottom w:val="none" w:sz="0" w:space="0" w:color="auto"/>
        <w:right w:val="none" w:sz="0" w:space="0" w:color="auto"/>
      </w:divBdr>
    </w:div>
    <w:div w:id="1426615981">
      <w:bodyDiv w:val="1"/>
      <w:marLeft w:val="0"/>
      <w:marRight w:val="0"/>
      <w:marTop w:val="0"/>
      <w:marBottom w:val="0"/>
      <w:divBdr>
        <w:top w:val="none" w:sz="0" w:space="0" w:color="auto"/>
        <w:left w:val="none" w:sz="0" w:space="0" w:color="auto"/>
        <w:bottom w:val="none" w:sz="0" w:space="0" w:color="auto"/>
        <w:right w:val="none" w:sz="0" w:space="0" w:color="auto"/>
      </w:divBdr>
    </w:div>
    <w:div w:id="1443841199">
      <w:bodyDiv w:val="1"/>
      <w:marLeft w:val="0"/>
      <w:marRight w:val="0"/>
      <w:marTop w:val="0"/>
      <w:marBottom w:val="0"/>
      <w:divBdr>
        <w:top w:val="none" w:sz="0" w:space="0" w:color="auto"/>
        <w:left w:val="none" w:sz="0" w:space="0" w:color="auto"/>
        <w:bottom w:val="none" w:sz="0" w:space="0" w:color="auto"/>
        <w:right w:val="none" w:sz="0" w:space="0" w:color="auto"/>
      </w:divBdr>
    </w:div>
    <w:div w:id="1490512430">
      <w:bodyDiv w:val="1"/>
      <w:marLeft w:val="0"/>
      <w:marRight w:val="0"/>
      <w:marTop w:val="0"/>
      <w:marBottom w:val="0"/>
      <w:divBdr>
        <w:top w:val="none" w:sz="0" w:space="0" w:color="auto"/>
        <w:left w:val="none" w:sz="0" w:space="0" w:color="auto"/>
        <w:bottom w:val="none" w:sz="0" w:space="0" w:color="auto"/>
        <w:right w:val="none" w:sz="0" w:space="0" w:color="auto"/>
      </w:divBdr>
    </w:div>
    <w:div w:id="1527135892">
      <w:bodyDiv w:val="1"/>
      <w:marLeft w:val="0"/>
      <w:marRight w:val="0"/>
      <w:marTop w:val="0"/>
      <w:marBottom w:val="0"/>
      <w:divBdr>
        <w:top w:val="none" w:sz="0" w:space="0" w:color="auto"/>
        <w:left w:val="none" w:sz="0" w:space="0" w:color="auto"/>
        <w:bottom w:val="none" w:sz="0" w:space="0" w:color="auto"/>
        <w:right w:val="none" w:sz="0" w:space="0" w:color="auto"/>
      </w:divBdr>
    </w:div>
    <w:div w:id="1546484892">
      <w:bodyDiv w:val="1"/>
      <w:marLeft w:val="0"/>
      <w:marRight w:val="0"/>
      <w:marTop w:val="0"/>
      <w:marBottom w:val="0"/>
      <w:divBdr>
        <w:top w:val="none" w:sz="0" w:space="0" w:color="auto"/>
        <w:left w:val="none" w:sz="0" w:space="0" w:color="auto"/>
        <w:bottom w:val="none" w:sz="0" w:space="0" w:color="auto"/>
        <w:right w:val="none" w:sz="0" w:space="0" w:color="auto"/>
      </w:divBdr>
    </w:div>
    <w:div w:id="1582325845">
      <w:bodyDiv w:val="1"/>
      <w:marLeft w:val="0"/>
      <w:marRight w:val="0"/>
      <w:marTop w:val="0"/>
      <w:marBottom w:val="0"/>
      <w:divBdr>
        <w:top w:val="none" w:sz="0" w:space="0" w:color="auto"/>
        <w:left w:val="none" w:sz="0" w:space="0" w:color="auto"/>
        <w:bottom w:val="none" w:sz="0" w:space="0" w:color="auto"/>
        <w:right w:val="none" w:sz="0" w:space="0" w:color="auto"/>
      </w:divBdr>
    </w:div>
    <w:div w:id="1628968836">
      <w:bodyDiv w:val="1"/>
      <w:marLeft w:val="0"/>
      <w:marRight w:val="0"/>
      <w:marTop w:val="0"/>
      <w:marBottom w:val="0"/>
      <w:divBdr>
        <w:top w:val="none" w:sz="0" w:space="0" w:color="auto"/>
        <w:left w:val="none" w:sz="0" w:space="0" w:color="auto"/>
        <w:bottom w:val="none" w:sz="0" w:space="0" w:color="auto"/>
        <w:right w:val="none" w:sz="0" w:space="0" w:color="auto"/>
      </w:divBdr>
    </w:div>
    <w:div w:id="1631470354">
      <w:bodyDiv w:val="1"/>
      <w:marLeft w:val="0"/>
      <w:marRight w:val="0"/>
      <w:marTop w:val="0"/>
      <w:marBottom w:val="0"/>
      <w:divBdr>
        <w:top w:val="none" w:sz="0" w:space="0" w:color="auto"/>
        <w:left w:val="none" w:sz="0" w:space="0" w:color="auto"/>
        <w:bottom w:val="none" w:sz="0" w:space="0" w:color="auto"/>
        <w:right w:val="none" w:sz="0" w:space="0" w:color="auto"/>
      </w:divBdr>
    </w:div>
    <w:div w:id="1632129903">
      <w:bodyDiv w:val="1"/>
      <w:marLeft w:val="0"/>
      <w:marRight w:val="0"/>
      <w:marTop w:val="0"/>
      <w:marBottom w:val="0"/>
      <w:divBdr>
        <w:top w:val="none" w:sz="0" w:space="0" w:color="auto"/>
        <w:left w:val="none" w:sz="0" w:space="0" w:color="auto"/>
        <w:bottom w:val="none" w:sz="0" w:space="0" w:color="auto"/>
        <w:right w:val="none" w:sz="0" w:space="0" w:color="auto"/>
      </w:divBdr>
    </w:div>
    <w:div w:id="1679694449">
      <w:bodyDiv w:val="1"/>
      <w:marLeft w:val="0"/>
      <w:marRight w:val="0"/>
      <w:marTop w:val="0"/>
      <w:marBottom w:val="0"/>
      <w:divBdr>
        <w:top w:val="none" w:sz="0" w:space="0" w:color="auto"/>
        <w:left w:val="none" w:sz="0" w:space="0" w:color="auto"/>
        <w:bottom w:val="none" w:sz="0" w:space="0" w:color="auto"/>
        <w:right w:val="none" w:sz="0" w:space="0" w:color="auto"/>
      </w:divBdr>
    </w:div>
    <w:div w:id="1695230762">
      <w:bodyDiv w:val="1"/>
      <w:marLeft w:val="0"/>
      <w:marRight w:val="0"/>
      <w:marTop w:val="0"/>
      <w:marBottom w:val="0"/>
      <w:divBdr>
        <w:top w:val="none" w:sz="0" w:space="0" w:color="auto"/>
        <w:left w:val="none" w:sz="0" w:space="0" w:color="auto"/>
        <w:bottom w:val="none" w:sz="0" w:space="0" w:color="auto"/>
        <w:right w:val="none" w:sz="0" w:space="0" w:color="auto"/>
      </w:divBdr>
    </w:div>
    <w:div w:id="1731489962">
      <w:bodyDiv w:val="1"/>
      <w:marLeft w:val="0"/>
      <w:marRight w:val="0"/>
      <w:marTop w:val="0"/>
      <w:marBottom w:val="0"/>
      <w:divBdr>
        <w:top w:val="none" w:sz="0" w:space="0" w:color="auto"/>
        <w:left w:val="none" w:sz="0" w:space="0" w:color="auto"/>
        <w:bottom w:val="none" w:sz="0" w:space="0" w:color="auto"/>
        <w:right w:val="none" w:sz="0" w:space="0" w:color="auto"/>
      </w:divBdr>
    </w:div>
    <w:div w:id="1746680848">
      <w:bodyDiv w:val="1"/>
      <w:marLeft w:val="0"/>
      <w:marRight w:val="0"/>
      <w:marTop w:val="0"/>
      <w:marBottom w:val="0"/>
      <w:divBdr>
        <w:top w:val="none" w:sz="0" w:space="0" w:color="auto"/>
        <w:left w:val="none" w:sz="0" w:space="0" w:color="auto"/>
        <w:bottom w:val="none" w:sz="0" w:space="0" w:color="auto"/>
        <w:right w:val="none" w:sz="0" w:space="0" w:color="auto"/>
      </w:divBdr>
    </w:div>
    <w:div w:id="1767993483">
      <w:bodyDiv w:val="1"/>
      <w:marLeft w:val="0"/>
      <w:marRight w:val="0"/>
      <w:marTop w:val="0"/>
      <w:marBottom w:val="0"/>
      <w:divBdr>
        <w:top w:val="none" w:sz="0" w:space="0" w:color="auto"/>
        <w:left w:val="none" w:sz="0" w:space="0" w:color="auto"/>
        <w:bottom w:val="none" w:sz="0" w:space="0" w:color="auto"/>
        <w:right w:val="none" w:sz="0" w:space="0" w:color="auto"/>
      </w:divBdr>
    </w:div>
    <w:div w:id="1822770222">
      <w:bodyDiv w:val="1"/>
      <w:marLeft w:val="0"/>
      <w:marRight w:val="0"/>
      <w:marTop w:val="0"/>
      <w:marBottom w:val="0"/>
      <w:divBdr>
        <w:top w:val="none" w:sz="0" w:space="0" w:color="auto"/>
        <w:left w:val="none" w:sz="0" w:space="0" w:color="auto"/>
        <w:bottom w:val="none" w:sz="0" w:space="0" w:color="auto"/>
        <w:right w:val="none" w:sz="0" w:space="0" w:color="auto"/>
      </w:divBdr>
    </w:div>
    <w:div w:id="1833175042">
      <w:bodyDiv w:val="1"/>
      <w:marLeft w:val="0"/>
      <w:marRight w:val="0"/>
      <w:marTop w:val="0"/>
      <w:marBottom w:val="0"/>
      <w:divBdr>
        <w:top w:val="none" w:sz="0" w:space="0" w:color="auto"/>
        <w:left w:val="none" w:sz="0" w:space="0" w:color="auto"/>
        <w:bottom w:val="none" w:sz="0" w:space="0" w:color="auto"/>
        <w:right w:val="none" w:sz="0" w:space="0" w:color="auto"/>
      </w:divBdr>
    </w:div>
    <w:div w:id="1863126217">
      <w:bodyDiv w:val="1"/>
      <w:marLeft w:val="0"/>
      <w:marRight w:val="0"/>
      <w:marTop w:val="0"/>
      <w:marBottom w:val="0"/>
      <w:divBdr>
        <w:top w:val="none" w:sz="0" w:space="0" w:color="auto"/>
        <w:left w:val="none" w:sz="0" w:space="0" w:color="auto"/>
        <w:bottom w:val="none" w:sz="0" w:space="0" w:color="auto"/>
        <w:right w:val="none" w:sz="0" w:space="0" w:color="auto"/>
      </w:divBdr>
    </w:div>
    <w:div w:id="1897275560">
      <w:bodyDiv w:val="1"/>
      <w:marLeft w:val="0"/>
      <w:marRight w:val="0"/>
      <w:marTop w:val="0"/>
      <w:marBottom w:val="0"/>
      <w:divBdr>
        <w:top w:val="none" w:sz="0" w:space="0" w:color="auto"/>
        <w:left w:val="none" w:sz="0" w:space="0" w:color="auto"/>
        <w:bottom w:val="none" w:sz="0" w:space="0" w:color="auto"/>
        <w:right w:val="none" w:sz="0" w:space="0" w:color="auto"/>
      </w:divBdr>
    </w:div>
    <w:div w:id="2002004195">
      <w:bodyDiv w:val="1"/>
      <w:marLeft w:val="0"/>
      <w:marRight w:val="0"/>
      <w:marTop w:val="0"/>
      <w:marBottom w:val="0"/>
      <w:divBdr>
        <w:top w:val="none" w:sz="0" w:space="0" w:color="auto"/>
        <w:left w:val="none" w:sz="0" w:space="0" w:color="auto"/>
        <w:bottom w:val="none" w:sz="0" w:space="0" w:color="auto"/>
        <w:right w:val="none" w:sz="0" w:space="0" w:color="auto"/>
      </w:divBdr>
    </w:div>
    <w:div w:id="2022126468">
      <w:bodyDiv w:val="1"/>
      <w:marLeft w:val="0"/>
      <w:marRight w:val="0"/>
      <w:marTop w:val="0"/>
      <w:marBottom w:val="0"/>
      <w:divBdr>
        <w:top w:val="none" w:sz="0" w:space="0" w:color="auto"/>
        <w:left w:val="none" w:sz="0" w:space="0" w:color="auto"/>
        <w:bottom w:val="none" w:sz="0" w:space="0" w:color="auto"/>
        <w:right w:val="none" w:sz="0" w:space="0" w:color="auto"/>
      </w:divBdr>
    </w:div>
    <w:div w:id="2066830574">
      <w:bodyDiv w:val="1"/>
      <w:marLeft w:val="0"/>
      <w:marRight w:val="0"/>
      <w:marTop w:val="0"/>
      <w:marBottom w:val="0"/>
      <w:divBdr>
        <w:top w:val="none" w:sz="0" w:space="0" w:color="auto"/>
        <w:left w:val="none" w:sz="0" w:space="0" w:color="auto"/>
        <w:bottom w:val="none" w:sz="0" w:space="0" w:color="auto"/>
        <w:right w:val="none" w:sz="0" w:space="0" w:color="auto"/>
      </w:divBdr>
    </w:div>
    <w:div w:id="2069375336">
      <w:bodyDiv w:val="1"/>
      <w:marLeft w:val="0"/>
      <w:marRight w:val="0"/>
      <w:marTop w:val="0"/>
      <w:marBottom w:val="0"/>
      <w:divBdr>
        <w:top w:val="none" w:sz="0" w:space="0" w:color="auto"/>
        <w:left w:val="none" w:sz="0" w:space="0" w:color="auto"/>
        <w:bottom w:val="none" w:sz="0" w:space="0" w:color="auto"/>
        <w:right w:val="none" w:sz="0" w:space="0" w:color="auto"/>
      </w:divBdr>
    </w:div>
    <w:div w:id="2128351850">
      <w:bodyDiv w:val="1"/>
      <w:marLeft w:val="0"/>
      <w:marRight w:val="0"/>
      <w:marTop w:val="0"/>
      <w:marBottom w:val="0"/>
      <w:divBdr>
        <w:top w:val="none" w:sz="0" w:space="0" w:color="auto"/>
        <w:left w:val="none" w:sz="0" w:space="0" w:color="auto"/>
        <w:bottom w:val="none" w:sz="0" w:space="0" w:color="auto"/>
        <w:right w:val="none" w:sz="0" w:space="0" w:color="auto"/>
      </w:divBdr>
    </w:div>
    <w:div w:id="2137946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yperlink" Target="https://authorservices.taylorandfrancis.com/data-sharing-policies/open-and-fair/"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chart" Target="charts/chart2.xml"/><Relationship Id="rId7" Type="http://schemas.openxmlformats.org/officeDocument/2006/relationships/settings" Target="settings.xml"/><Relationship Id="rId12" Type="http://schemas.openxmlformats.org/officeDocument/2006/relationships/hyperlink" Target="mailto:datasharing@tandf.co.uk" TargetMode="External"/><Relationship Id="rId17" Type="http://schemas.openxmlformats.org/officeDocument/2006/relationships/image" Target="media/image2.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authorservices.taylorandfrancis.com/data-sharing-policies/data-availability-statements/" TargetMode="External"/><Relationship Id="rId20" Type="http://schemas.openxmlformats.org/officeDocument/2006/relationships/chart" Target="charts/chart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uthorservices.taylorandfrancis.com/wp-content/uploads/2019/04/Author-Services-Data-sharing-policies.pdf" TargetMode="External"/><Relationship Id="rId24" Type="http://schemas.openxmlformats.org/officeDocument/2006/relationships/image" Target="media/image6.jpg"/><Relationship Id="rId5" Type="http://schemas.openxmlformats.org/officeDocument/2006/relationships/numbering" Target="numbering.xml"/><Relationship Id="rId15" Type="http://schemas.openxmlformats.org/officeDocument/2006/relationships/hyperlink" Target="https://authorservices.taylorandfrancis.com/data-sharing-policies/open-and-fair/" TargetMode="External"/><Relationship Id="rId23" Type="http://schemas.openxmlformats.org/officeDocument/2006/relationships/image" Target="media/image5.jpeg"/><Relationship Id="rId10" Type="http://schemas.openxmlformats.org/officeDocument/2006/relationships/endnotes" Target="endnote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uthorservices.taylorandfrancis.com/data-sharing-policies/open-data/" TargetMode="External"/><Relationship Id="rId22" Type="http://schemas.openxmlformats.org/officeDocument/2006/relationships/image" Target="media/image4.jpeg"/><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cannonm\AppData\Local\Microsoft\Windows\INetCache\Content.Outlook\6JO4UAAZ\Copy%20of%20FAIR%20Data%20Pilot%20Analysi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https://informaplc-my.sharepoint.com/personal/andrew_kelly_informa_com/Documents/Other%20Departments/Open%20Research/Open%20&amp;%20FAIR%20Data%20Pilot%20Analysis.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ysClr val="windowText" lastClr="000000"/>
                </a:solidFill>
                <a:latin typeface="+mn-lt"/>
                <a:ea typeface="+mn-ea"/>
                <a:cs typeface="+mn-cs"/>
              </a:defRPr>
            </a:pPr>
            <a:r>
              <a:rPr lang="en-GB" sz="1200"/>
              <a:t>Journal</a:t>
            </a:r>
            <a:r>
              <a:rPr lang="en-GB" sz="1200" baseline="0"/>
              <a:t> submissions and acceptances - 2018, 2019, 2020</a:t>
            </a:r>
            <a:endParaRPr lang="en-GB" sz="1200"/>
          </a:p>
        </c:rich>
      </c:tx>
      <c:overlay val="0"/>
      <c:spPr>
        <a:noFill/>
        <a:ln>
          <a:noFill/>
        </a:ln>
        <a:effectLst/>
      </c:spPr>
      <c:txPr>
        <a:bodyPr rot="0" spcFirstLastPara="1" vertOverflow="ellipsis" vert="horz" wrap="square" anchor="ctr" anchorCtr="1"/>
        <a:lstStyle/>
        <a:p>
          <a:pPr>
            <a:defRPr sz="1200" b="0" i="0" u="none" strike="noStrike" kern="1200" spc="0" baseline="0">
              <a:solidFill>
                <a:sysClr val="windowText" lastClr="000000"/>
              </a:solidFill>
              <a:latin typeface="+mn-lt"/>
              <a:ea typeface="+mn-ea"/>
              <a:cs typeface="+mn-cs"/>
            </a:defRPr>
          </a:pPr>
          <a:endParaRPr lang="en-US"/>
        </a:p>
      </c:txPr>
    </c:title>
    <c:autoTitleDeleted val="0"/>
    <c:plotArea>
      <c:layout>
        <c:manualLayout>
          <c:layoutTarget val="inner"/>
          <c:xMode val="edge"/>
          <c:yMode val="edge"/>
          <c:x val="7.7808009311533463E-2"/>
          <c:y val="8.8108515597631734E-2"/>
          <c:w val="0.704356159523016"/>
          <c:h val="0.75404847700121447"/>
        </c:manualLayout>
      </c:layout>
      <c:barChart>
        <c:barDir val="col"/>
        <c:grouping val="clustered"/>
        <c:varyColors val="0"/>
        <c:ser>
          <c:idx val="0"/>
          <c:order val="0"/>
          <c:tx>
            <c:strRef>
              <c:f>'full year comparisons'!$I$3</c:f>
              <c:strCache>
                <c:ptCount val="1"/>
                <c:pt idx="0">
                  <c:v>Journal 1 - Acceptances</c:v>
                </c:pt>
              </c:strCache>
            </c:strRef>
          </c:tx>
          <c:spPr>
            <a:solidFill>
              <a:schemeClr val="accent1"/>
            </a:solidFill>
            <a:ln>
              <a:noFill/>
            </a:ln>
            <a:effectLst/>
          </c:spPr>
          <c:invertIfNegative val="0"/>
          <c:cat>
            <c:multiLvlStrRef>
              <c:f>'full year comparisons'!$G$4:$H$9</c:f>
              <c:multiLvlStrCache>
                <c:ptCount val="6"/>
                <c:lvl>
                  <c:pt idx="0">
                    <c:v>H1</c:v>
                  </c:pt>
                  <c:pt idx="1">
                    <c:v>H2</c:v>
                  </c:pt>
                  <c:pt idx="2">
                    <c:v>H1</c:v>
                  </c:pt>
                  <c:pt idx="3">
                    <c:v>H2</c:v>
                  </c:pt>
                  <c:pt idx="4">
                    <c:v>H1</c:v>
                  </c:pt>
                  <c:pt idx="5">
                    <c:v>H2</c:v>
                  </c:pt>
                </c:lvl>
                <c:lvl>
                  <c:pt idx="0">
                    <c:v>2018</c:v>
                  </c:pt>
                  <c:pt idx="1">
                    <c:v>2018</c:v>
                  </c:pt>
                  <c:pt idx="2">
                    <c:v>2019</c:v>
                  </c:pt>
                  <c:pt idx="3">
                    <c:v>2019</c:v>
                  </c:pt>
                  <c:pt idx="4">
                    <c:v>2020</c:v>
                  </c:pt>
                  <c:pt idx="5">
                    <c:v>2020</c:v>
                  </c:pt>
                </c:lvl>
              </c:multiLvlStrCache>
            </c:multiLvlStrRef>
          </c:cat>
          <c:val>
            <c:numRef>
              <c:f>'full year comparisons'!$I$4:$I$9</c:f>
              <c:numCache>
                <c:formatCode>General</c:formatCode>
                <c:ptCount val="6"/>
                <c:pt idx="0">
                  <c:v>7</c:v>
                </c:pt>
                <c:pt idx="1">
                  <c:v>19</c:v>
                </c:pt>
                <c:pt idx="2">
                  <c:v>19</c:v>
                </c:pt>
                <c:pt idx="3">
                  <c:v>20</c:v>
                </c:pt>
                <c:pt idx="4">
                  <c:v>19</c:v>
                </c:pt>
                <c:pt idx="5">
                  <c:v>16</c:v>
                </c:pt>
              </c:numCache>
            </c:numRef>
          </c:val>
          <c:extLst>
            <c:ext xmlns:c16="http://schemas.microsoft.com/office/drawing/2014/chart" uri="{C3380CC4-5D6E-409C-BE32-E72D297353CC}">
              <c16:uniqueId val="{00000000-53FA-451A-969B-F43D3E62D91D}"/>
            </c:ext>
          </c:extLst>
        </c:ser>
        <c:ser>
          <c:idx val="1"/>
          <c:order val="1"/>
          <c:tx>
            <c:strRef>
              <c:f>'full year comparisons'!$J$3</c:f>
              <c:strCache>
                <c:ptCount val="1"/>
                <c:pt idx="0">
                  <c:v>Journal 2 - Acceptances</c:v>
                </c:pt>
              </c:strCache>
            </c:strRef>
          </c:tx>
          <c:spPr>
            <a:solidFill>
              <a:schemeClr val="accent2"/>
            </a:solidFill>
            <a:ln>
              <a:noFill/>
            </a:ln>
            <a:effectLst/>
          </c:spPr>
          <c:invertIfNegative val="0"/>
          <c:cat>
            <c:multiLvlStrRef>
              <c:f>'full year comparisons'!$G$4:$H$9</c:f>
              <c:multiLvlStrCache>
                <c:ptCount val="6"/>
                <c:lvl>
                  <c:pt idx="0">
                    <c:v>H1</c:v>
                  </c:pt>
                  <c:pt idx="1">
                    <c:v>H2</c:v>
                  </c:pt>
                  <c:pt idx="2">
                    <c:v>H1</c:v>
                  </c:pt>
                  <c:pt idx="3">
                    <c:v>H2</c:v>
                  </c:pt>
                  <c:pt idx="4">
                    <c:v>H1</c:v>
                  </c:pt>
                  <c:pt idx="5">
                    <c:v>H2</c:v>
                  </c:pt>
                </c:lvl>
                <c:lvl>
                  <c:pt idx="0">
                    <c:v>2018</c:v>
                  </c:pt>
                  <c:pt idx="1">
                    <c:v>2018</c:v>
                  </c:pt>
                  <c:pt idx="2">
                    <c:v>2019</c:v>
                  </c:pt>
                  <c:pt idx="3">
                    <c:v>2019</c:v>
                  </c:pt>
                  <c:pt idx="4">
                    <c:v>2020</c:v>
                  </c:pt>
                  <c:pt idx="5">
                    <c:v>2020</c:v>
                  </c:pt>
                </c:lvl>
              </c:multiLvlStrCache>
            </c:multiLvlStrRef>
          </c:cat>
          <c:val>
            <c:numRef>
              <c:f>'full year comparisons'!$J$4:$J$9</c:f>
              <c:numCache>
                <c:formatCode>General</c:formatCode>
                <c:ptCount val="6"/>
                <c:pt idx="0">
                  <c:v>86</c:v>
                </c:pt>
                <c:pt idx="1">
                  <c:v>47</c:v>
                </c:pt>
                <c:pt idx="2">
                  <c:v>59</c:v>
                </c:pt>
                <c:pt idx="3">
                  <c:v>49</c:v>
                </c:pt>
                <c:pt idx="4">
                  <c:v>53</c:v>
                </c:pt>
                <c:pt idx="5">
                  <c:v>59</c:v>
                </c:pt>
              </c:numCache>
            </c:numRef>
          </c:val>
          <c:extLst>
            <c:ext xmlns:c16="http://schemas.microsoft.com/office/drawing/2014/chart" uri="{C3380CC4-5D6E-409C-BE32-E72D297353CC}">
              <c16:uniqueId val="{00000001-53FA-451A-969B-F43D3E62D91D}"/>
            </c:ext>
          </c:extLst>
        </c:ser>
        <c:ser>
          <c:idx val="2"/>
          <c:order val="2"/>
          <c:tx>
            <c:strRef>
              <c:f>'full year comparisons'!$K$3</c:f>
              <c:strCache>
                <c:ptCount val="1"/>
                <c:pt idx="0">
                  <c:v>Journal 3 - Acceptances</c:v>
                </c:pt>
              </c:strCache>
            </c:strRef>
          </c:tx>
          <c:spPr>
            <a:solidFill>
              <a:schemeClr val="accent3"/>
            </a:solidFill>
            <a:ln>
              <a:noFill/>
            </a:ln>
            <a:effectLst/>
          </c:spPr>
          <c:invertIfNegative val="0"/>
          <c:cat>
            <c:multiLvlStrRef>
              <c:f>'full year comparisons'!$G$4:$H$9</c:f>
              <c:multiLvlStrCache>
                <c:ptCount val="6"/>
                <c:lvl>
                  <c:pt idx="0">
                    <c:v>H1</c:v>
                  </c:pt>
                  <c:pt idx="1">
                    <c:v>H2</c:v>
                  </c:pt>
                  <c:pt idx="2">
                    <c:v>H1</c:v>
                  </c:pt>
                  <c:pt idx="3">
                    <c:v>H2</c:v>
                  </c:pt>
                  <c:pt idx="4">
                    <c:v>H1</c:v>
                  </c:pt>
                  <c:pt idx="5">
                    <c:v>H2</c:v>
                  </c:pt>
                </c:lvl>
                <c:lvl>
                  <c:pt idx="0">
                    <c:v>2018</c:v>
                  </c:pt>
                  <c:pt idx="1">
                    <c:v>2018</c:v>
                  </c:pt>
                  <c:pt idx="2">
                    <c:v>2019</c:v>
                  </c:pt>
                  <c:pt idx="3">
                    <c:v>2019</c:v>
                  </c:pt>
                  <c:pt idx="4">
                    <c:v>2020</c:v>
                  </c:pt>
                  <c:pt idx="5">
                    <c:v>2020</c:v>
                  </c:pt>
                </c:lvl>
              </c:multiLvlStrCache>
            </c:multiLvlStrRef>
          </c:cat>
          <c:val>
            <c:numRef>
              <c:f>'full year comparisons'!$K$4:$K$9</c:f>
              <c:numCache>
                <c:formatCode>General</c:formatCode>
                <c:ptCount val="6"/>
                <c:pt idx="0">
                  <c:v>320</c:v>
                </c:pt>
                <c:pt idx="1">
                  <c:v>312</c:v>
                </c:pt>
                <c:pt idx="2">
                  <c:v>301</c:v>
                </c:pt>
                <c:pt idx="3">
                  <c:v>310</c:v>
                </c:pt>
                <c:pt idx="4">
                  <c:v>322</c:v>
                </c:pt>
                <c:pt idx="5">
                  <c:v>273</c:v>
                </c:pt>
              </c:numCache>
            </c:numRef>
          </c:val>
          <c:extLst>
            <c:ext xmlns:c16="http://schemas.microsoft.com/office/drawing/2014/chart" uri="{C3380CC4-5D6E-409C-BE32-E72D297353CC}">
              <c16:uniqueId val="{00000002-53FA-451A-969B-F43D3E62D91D}"/>
            </c:ext>
          </c:extLst>
        </c:ser>
        <c:ser>
          <c:idx val="3"/>
          <c:order val="3"/>
          <c:tx>
            <c:strRef>
              <c:f>'full year comparisons'!$L$3</c:f>
              <c:strCache>
                <c:ptCount val="1"/>
                <c:pt idx="0">
                  <c:v>Journal 4 - Acceptances</c:v>
                </c:pt>
              </c:strCache>
            </c:strRef>
          </c:tx>
          <c:spPr>
            <a:solidFill>
              <a:schemeClr val="accent4"/>
            </a:solidFill>
            <a:ln>
              <a:noFill/>
            </a:ln>
            <a:effectLst/>
          </c:spPr>
          <c:invertIfNegative val="0"/>
          <c:cat>
            <c:multiLvlStrRef>
              <c:f>'full year comparisons'!$G$4:$H$9</c:f>
              <c:multiLvlStrCache>
                <c:ptCount val="6"/>
                <c:lvl>
                  <c:pt idx="0">
                    <c:v>H1</c:v>
                  </c:pt>
                  <c:pt idx="1">
                    <c:v>H2</c:v>
                  </c:pt>
                  <c:pt idx="2">
                    <c:v>H1</c:v>
                  </c:pt>
                  <c:pt idx="3">
                    <c:v>H2</c:v>
                  </c:pt>
                  <c:pt idx="4">
                    <c:v>H1</c:v>
                  </c:pt>
                  <c:pt idx="5">
                    <c:v>H2</c:v>
                  </c:pt>
                </c:lvl>
                <c:lvl>
                  <c:pt idx="0">
                    <c:v>2018</c:v>
                  </c:pt>
                  <c:pt idx="1">
                    <c:v>2018</c:v>
                  </c:pt>
                  <c:pt idx="2">
                    <c:v>2019</c:v>
                  </c:pt>
                  <c:pt idx="3">
                    <c:v>2019</c:v>
                  </c:pt>
                  <c:pt idx="4">
                    <c:v>2020</c:v>
                  </c:pt>
                  <c:pt idx="5">
                    <c:v>2020</c:v>
                  </c:pt>
                </c:lvl>
              </c:multiLvlStrCache>
            </c:multiLvlStrRef>
          </c:cat>
          <c:val>
            <c:numRef>
              <c:f>'full year comparisons'!$L$4:$L$9</c:f>
              <c:numCache>
                <c:formatCode>General</c:formatCode>
                <c:ptCount val="6"/>
                <c:pt idx="0">
                  <c:v>149</c:v>
                </c:pt>
                <c:pt idx="1">
                  <c:v>165</c:v>
                </c:pt>
                <c:pt idx="2">
                  <c:v>219</c:v>
                </c:pt>
                <c:pt idx="3">
                  <c:v>196</c:v>
                </c:pt>
                <c:pt idx="4">
                  <c:v>207</c:v>
                </c:pt>
                <c:pt idx="5">
                  <c:v>294</c:v>
                </c:pt>
              </c:numCache>
            </c:numRef>
          </c:val>
          <c:extLst>
            <c:ext xmlns:c16="http://schemas.microsoft.com/office/drawing/2014/chart" uri="{C3380CC4-5D6E-409C-BE32-E72D297353CC}">
              <c16:uniqueId val="{00000003-53FA-451A-969B-F43D3E62D91D}"/>
            </c:ext>
          </c:extLst>
        </c:ser>
        <c:ser>
          <c:idx val="4"/>
          <c:order val="4"/>
          <c:tx>
            <c:strRef>
              <c:f>'full year comparisons'!$M$3</c:f>
              <c:strCache>
                <c:ptCount val="1"/>
                <c:pt idx="0">
                  <c:v>Journal 5 - Acceptances</c:v>
                </c:pt>
              </c:strCache>
            </c:strRef>
          </c:tx>
          <c:spPr>
            <a:solidFill>
              <a:schemeClr val="accent5"/>
            </a:solidFill>
            <a:ln>
              <a:noFill/>
            </a:ln>
            <a:effectLst/>
          </c:spPr>
          <c:invertIfNegative val="0"/>
          <c:cat>
            <c:multiLvlStrRef>
              <c:f>'full year comparisons'!$G$4:$H$9</c:f>
              <c:multiLvlStrCache>
                <c:ptCount val="6"/>
                <c:lvl>
                  <c:pt idx="0">
                    <c:v>H1</c:v>
                  </c:pt>
                  <c:pt idx="1">
                    <c:v>H2</c:v>
                  </c:pt>
                  <c:pt idx="2">
                    <c:v>H1</c:v>
                  </c:pt>
                  <c:pt idx="3">
                    <c:v>H2</c:v>
                  </c:pt>
                  <c:pt idx="4">
                    <c:v>H1</c:v>
                  </c:pt>
                  <c:pt idx="5">
                    <c:v>H2</c:v>
                  </c:pt>
                </c:lvl>
                <c:lvl>
                  <c:pt idx="0">
                    <c:v>2018</c:v>
                  </c:pt>
                  <c:pt idx="1">
                    <c:v>2018</c:v>
                  </c:pt>
                  <c:pt idx="2">
                    <c:v>2019</c:v>
                  </c:pt>
                  <c:pt idx="3">
                    <c:v>2019</c:v>
                  </c:pt>
                  <c:pt idx="4">
                    <c:v>2020</c:v>
                  </c:pt>
                  <c:pt idx="5">
                    <c:v>2020</c:v>
                  </c:pt>
                </c:lvl>
              </c:multiLvlStrCache>
            </c:multiLvlStrRef>
          </c:cat>
          <c:val>
            <c:numRef>
              <c:f>'full year comparisons'!$M$4:$M$9</c:f>
              <c:numCache>
                <c:formatCode>General</c:formatCode>
                <c:ptCount val="6"/>
                <c:pt idx="0">
                  <c:v>117</c:v>
                </c:pt>
                <c:pt idx="1">
                  <c:v>100</c:v>
                </c:pt>
                <c:pt idx="2">
                  <c:v>78</c:v>
                </c:pt>
                <c:pt idx="3">
                  <c:v>62</c:v>
                </c:pt>
                <c:pt idx="4">
                  <c:v>83</c:v>
                </c:pt>
                <c:pt idx="5">
                  <c:v>80</c:v>
                </c:pt>
              </c:numCache>
            </c:numRef>
          </c:val>
          <c:extLst>
            <c:ext xmlns:c16="http://schemas.microsoft.com/office/drawing/2014/chart" uri="{C3380CC4-5D6E-409C-BE32-E72D297353CC}">
              <c16:uniqueId val="{00000004-53FA-451A-969B-F43D3E62D91D}"/>
            </c:ext>
          </c:extLst>
        </c:ser>
        <c:ser>
          <c:idx val="5"/>
          <c:order val="5"/>
          <c:tx>
            <c:strRef>
              <c:f>'full year comparisons'!$N$3</c:f>
              <c:strCache>
                <c:ptCount val="1"/>
                <c:pt idx="0">
                  <c:v>Journal 6 - Acceptances</c:v>
                </c:pt>
              </c:strCache>
            </c:strRef>
          </c:tx>
          <c:spPr>
            <a:solidFill>
              <a:schemeClr val="accent6"/>
            </a:solidFill>
            <a:ln>
              <a:noFill/>
            </a:ln>
            <a:effectLst/>
          </c:spPr>
          <c:invertIfNegative val="0"/>
          <c:cat>
            <c:multiLvlStrRef>
              <c:f>'full year comparisons'!$G$4:$H$9</c:f>
              <c:multiLvlStrCache>
                <c:ptCount val="6"/>
                <c:lvl>
                  <c:pt idx="0">
                    <c:v>H1</c:v>
                  </c:pt>
                  <c:pt idx="1">
                    <c:v>H2</c:v>
                  </c:pt>
                  <c:pt idx="2">
                    <c:v>H1</c:v>
                  </c:pt>
                  <c:pt idx="3">
                    <c:v>H2</c:v>
                  </c:pt>
                  <c:pt idx="4">
                    <c:v>H1</c:v>
                  </c:pt>
                  <c:pt idx="5">
                    <c:v>H2</c:v>
                  </c:pt>
                </c:lvl>
                <c:lvl>
                  <c:pt idx="0">
                    <c:v>2018</c:v>
                  </c:pt>
                  <c:pt idx="1">
                    <c:v>2018</c:v>
                  </c:pt>
                  <c:pt idx="2">
                    <c:v>2019</c:v>
                  </c:pt>
                  <c:pt idx="3">
                    <c:v>2019</c:v>
                  </c:pt>
                  <c:pt idx="4">
                    <c:v>2020</c:v>
                  </c:pt>
                  <c:pt idx="5">
                    <c:v>2020</c:v>
                  </c:pt>
                </c:lvl>
              </c:multiLvlStrCache>
            </c:multiLvlStrRef>
          </c:cat>
          <c:val>
            <c:numRef>
              <c:f>'full year comparisons'!$N$4:$N$9</c:f>
              <c:numCache>
                <c:formatCode>General</c:formatCode>
                <c:ptCount val="6"/>
                <c:pt idx="0">
                  <c:v>51</c:v>
                </c:pt>
                <c:pt idx="1">
                  <c:v>62</c:v>
                </c:pt>
                <c:pt idx="2">
                  <c:v>45</c:v>
                </c:pt>
                <c:pt idx="3">
                  <c:v>47</c:v>
                </c:pt>
                <c:pt idx="4">
                  <c:v>37</c:v>
                </c:pt>
                <c:pt idx="5">
                  <c:v>30</c:v>
                </c:pt>
              </c:numCache>
            </c:numRef>
          </c:val>
          <c:extLst>
            <c:ext xmlns:c16="http://schemas.microsoft.com/office/drawing/2014/chart" uri="{C3380CC4-5D6E-409C-BE32-E72D297353CC}">
              <c16:uniqueId val="{00000005-53FA-451A-969B-F43D3E62D91D}"/>
            </c:ext>
          </c:extLst>
        </c:ser>
        <c:dLbls>
          <c:showLegendKey val="0"/>
          <c:showVal val="0"/>
          <c:showCatName val="0"/>
          <c:showSerName val="0"/>
          <c:showPercent val="0"/>
          <c:showBubbleSize val="0"/>
        </c:dLbls>
        <c:gapWidth val="150"/>
        <c:axId val="1983245296"/>
        <c:axId val="1983250288"/>
      </c:barChart>
      <c:lineChart>
        <c:grouping val="standard"/>
        <c:varyColors val="0"/>
        <c:ser>
          <c:idx val="7"/>
          <c:order val="6"/>
          <c:tx>
            <c:strRef>
              <c:f>'full year comparisons'!$Q$3</c:f>
              <c:strCache>
                <c:ptCount val="1"/>
                <c:pt idx="0">
                  <c:v>Journal 1 - Submissions</c:v>
                </c:pt>
              </c:strCache>
            </c:strRef>
          </c:tx>
          <c:spPr>
            <a:ln w="44450" cap="rnd">
              <a:solidFill>
                <a:schemeClr val="accent1"/>
              </a:solidFill>
              <a:round/>
            </a:ln>
            <a:effectLst/>
          </c:spPr>
          <c:marker>
            <c:symbol val="circle"/>
            <c:size val="5"/>
            <c:spPr>
              <a:solidFill>
                <a:schemeClr val="accent1"/>
              </a:solidFill>
              <a:ln w="44450">
                <a:solidFill>
                  <a:schemeClr val="accent1"/>
                </a:solidFill>
              </a:ln>
              <a:effectLst/>
            </c:spPr>
          </c:marker>
          <c:cat>
            <c:multiLvlStrRef>
              <c:f>'full year comparisons'!$G$4:$H$9</c:f>
              <c:multiLvlStrCache>
                <c:ptCount val="6"/>
                <c:lvl>
                  <c:pt idx="0">
                    <c:v>H1</c:v>
                  </c:pt>
                  <c:pt idx="1">
                    <c:v>H2</c:v>
                  </c:pt>
                  <c:pt idx="2">
                    <c:v>H1</c:v>
                  </c:pt>
                  <c:pt idx="3">
                    <c:v>H2</c:v>
                  </c:pt>
                  <c:pt idx="4">
                    <c:v>H1</c:v>
                  </c:pt>
                  <c:pt idx="5">
                    <c:v>H2</c:v>
                  </c:pt>
                </c:lvl>
                <c:lvl>
                  <c:pt idx="0">
                    <c:v>2018</c:v>
                  </c:pt>
                  <c:pt idx="1">
                    <c:v>2018</c:v>
                  </c:pt>
                  <c:pt idx="2">
                    <c:v>2019</c:v>
                  </c:pt>
                  <c:pt idx="3">
                    <c:v>2019</c:v>
                  </c:pt>
                  <c:pt idx="4">
                    <c:v>2020</c:v>
                  </c:pt>
                  <c:pt idx="5">
                    <c:v>2020</c:v>
                  </c:pt>
                </c:lvl>
              </c:multiLvlStrCache>
            </c:multiLvlStrRef>
          </c:cat>
          <c:val>
            <c:numRef>
              <c:f>'full year comparisons'!$Q$4:$Q$6</c:f>
              <c:numCache>
                <c:formatCode>General</c:formatCode>
                <c:ptCount val="3"/>
                <c:pt idx="0">
                  <c:v>26</c:v>
                </c:pt>
                <c:pt idx="1">
                  <c:v>39</c:v>
                </c:pt>
                <c:pt idx="2">
                  <c:v>35</c:v>
                </c:pt>
              </c:numCache>
            </c:numRef>
          </c:val>
          <c:smooth val="0"/>
          <c:extLst>
            <c:ext xmlns:c16="http://schemas.microsoft.com/office/drawing/2014/chart" uri="{C3380CC4-5D6E-409C-BE32-E72D297353CC}">
              <c16:uniqueId val="{00000006-53FA-451A-969B-F43D3E62D91D}"/>
            </c:ext>
          </c:extLst>
        </c:ser>
        <c:ser>
          <c:idx val="8"/>
          <c:order val="7"/>
          <c:tx>
            <c:strRef>
              <c:f>'full year comparisons'!$R$3</c:f>
              <c:strCache>
                <c:ptCount val="1"/>
                <c:pt idx="0">
                  <c:v>Journal 2 - Submissions</c:v>
                </c:pt>
              </c:strCache>
            </c:strRef>
          </c:tx>
          <c:spPr>
            <a:ln w="44450" cap="rnd">
              <a:solidFill>
                <a:schemeClr val="accent2"/>
              </a:solidFill>
              <a:round/>
            </a:ln>
            <a:effectLst/>
          </c:spPr>
          <c:marker>
            <c:symbol val="circle"/>
            <c:size val="5"/>
            <c:spPr>
              <a:solidFill>
                <a:schemeClr val="accent2"/>
              </a:solidFill>
              <a:ln w="44450">
                <a:solidFill>
                  <a:schemeClr val="accent2"/>
                </a:solidFill>
              </a:ln>
              <a:effectLst/>
            </c:spPr>
          </c:marker>
          <c:cat>
            <c:multiLvlStrRef>
              <c:f>'full year comparisons'!$G$4:$H$9</c:f>
              <c:multiLvlStrCache>
                <c:ptCount val="6"/>
                <c:lvl>
                  <c:pt idx="0">
                    <c:v>H1</c:v>
                  </c:pt>
                  <c:pt idx="1">
                    <c:v>H2</c:v>
                  </c:pt>
                  <c:pt idx="2">
                    <c:v>H1</c:v>
                  </c:pt>
                  <c:pt idx="3">
                    <c:v>H2</c:v>
                  </c:pt>
                  <c:pt idx="4">
                    <c:v>H1</c:v>
                  </c:pt>
                  <c:pt idx="5">
                    <c:v>H2</c:v>
                  </c:pt>
                </c:lvl>
                <c:lvl>
                  <c:pt idx="0">
                    <c:v>2018</c:v>
                  </c:pt>
                  <c:pt idx="1">
                    <c:v>2018</c:v>
                  </c:pt>
                  <c:pt idx="2">
                    <c:v>2019</c:v>
                  </c:pt>
                  <c:pt idx="3">
                    <c:v>2019</c:v>
                  </c:pt>
                  <c:pt idx="4">
                    <c:v>2020</c:v>
                  </c:pt>
                  <c:pt idx="5">
                    <c:v>2020</c:v>
                  </c:pt>
                </c:lvl>
              </c:multiLvlStrCache>
            </c:multiLvlStrRef>
          </c:cat>
          <c:val>
            <c:numRef>
              <c:f>'full year comparisons'!$R$4:$R$6</c:f>
              <c:numCache>
                <c:formatCode>General</c:formatCode>
                <c:ptCount val="3"/>
                <c:pt idx="0">
                  <c:v>133</c:v>
                </c:pt>
                <c:pt idx="1">
                  <c:v>108</c:v>
                </c:pt>
                <c:pt idx="2">
                  <c:v>112</c:v>
                </c:pt>
              </c:numCache>
            </c:numRef>
          </c:val>
          <c:smooth val="0"/>
          <c:extLst>
            <c:ext xmlns:c16="http://schemas.microsoft.com/office/drawing/2014/chart" uri="{C3380CC4-5D6E-409C-BE32-E72D297353CC}">
              <c16:uniqueId val="{00000007-53FA-451A-969B-F43D3E62D91D}"/>
            </c:ext>
          </c:extLst>
        </c:ser>
        <c:ser>
          <c:idx val="9"/>
          <c:order val="8"/>
          <c:tx>
            <c:strRef>
              <c:f>'full year comparisons'!$S$3</c:f>
              <c:strCache>
                <c:ptCount val="1"/>
                <c:pt idx="0">
                  <c:v>Journal 3 - Submissions</c:v>
                </c:pt>
              </c:strCache>
            </c:strRef>
          </c:tx>
          <c:spPr>
            <a:ln w="44450" cap="rnd">
              <a:solidFill>
                <a:schemeClr val="accent3"/>
              </a:solidFill>
              <a:round/>
            </a:ln>
            <a:effectLst/>
          </c:spPr>
          <c:marker>
            <c:symbol val="circle"/>
            <c:size val="5"/>
            <c:spPr>
              <a:solidFill>
                <a:schemeClr val="accent3"/>
              </a:solidFill>
              <a:ln w="44450">
                <a:solidFill>
                  <a:schemeClr val="accent3"/>
                </a:solidFill>
              </a:ln>
              <a:effectLst/>
            </c:spPr>
          </c:marker>
          <c:cat>
            <c:multiLvlStrRef>
              <c:f>'full year comparisons'!$G$4:$H$9</c:f>
              <c:multiLvlStrCache>
                <c:ptCount val="6"/>
                <c:lvl>
                  <c:pt idx="0">
                    <c:v>H1</c:v>
                  </c:pt>
                  <c:pt idx="1">
                    <c:v>H2</c:v>
                  </c:pt>
                  <c:pt idx="2">
                    <c:v>H1</c:v>
                  </c:pt>
                  <c:pt idx="3">
                    <c:v>H2</c:v>
                  </c:pt>
                  <c:pt idx="4">
                    <c:v>H1</c:v>
                  </c:pt>
                  <c:pt idx="5">
                    <c:v>H2</c:v>
                  </c:pt>
                </c:lvl>
                <c:lvl>
                  <c:pt idx="0">
                    <c:v>2018</c:v>
                  </c:pt>
                  <c:pt idx="1">
                    <c:v>2018</c:v>
                  </c:pt>
                  <c:pt idx="2">
                    <c:v>2019</c:v>
                  </c:pt>
                  <c:pt idx="3">
                    <c:v>2019</c:v>
                  </c:pt>
                  <c:pt idx="4">
                    <c:v>2020</c:v>
                  </c:pt>
                  <c:pt idx="5">
                    <c:v>2020</c:v>
                  </c:pt>
                </c:lvl>
              </c:multiLvlStrCache>
            </c:multiLvlStrRef>
          </c:cat>
          <c:val>
            <c:numRef>
              <c:f>'full year comparisons'!$S$4:$S$6</c:f>
              <c:numCache>
                <c:formatCode>General</c:formatCode>
                <c:ptCount val="3"/>
                <c:pt idx="0">
                  <c:v>632</c:v>
                </c:pt>
                <c:pt idx="1">
                  <c:v>611</c:v>
                </c:pt>
                <c:pt idx="2">
                  <c:v>595</c:v>
                </c:pt>
              </c:numCache>
            </c:numRef>
          </c:val>
          <c:smooth val="0"/>
          <c:extLst>
            <c:ext xmlns:c16="http://schemas.microsoft.com/office/drawing/2014/chart" uri="{C3380CC4-5D6E-409C-BE32-E72D297353CC}">
              <c16:uniqueId val="{00000008-53FA-451A-969B-F43D3E62D91D}"/>
            </c:ext>
          </c:extLst>
        </c:ser>
        <c:ser>
          <c:idx val="10"/>
          <c:order val="9"/>
          <c:tx>
            <c:strRef>
              <c:f>'full year comparisons'!$T$3</c:f>
              <c:strCache>
                <c:ptCount val="1"/>
                <c:pt idx="0">
                  <c:v>Journal 4 - Submissions</c:v>
                </c:pt>
              </c:strCache>
            </c:strRef>
          </c:tx>
          <c:spPr>
            <a:ln w="44450" cap="rnd">
              <a:solidFill>
                <a:schemeClr val="accent4"/>
              </a:solidFill>
              <a:round/>
            </a:ln>
            <a:effectLst/>
          </c:spPr>
          <c:marker>
            <c:symbol val="circle"/>
            <c:size val="5"/>
            <c:spPr>
              <a:solidFill>
                <a:schemeClr val="accent4"/>
              </a:solidFill>
              <a:ln w="44450">
                <a:solidFill>
                  <a:schemeClr val="accent4"/>
                </a:solidFill>
              </a:ln>
              <a:effectLst/>
            </c:spPr>
          </c:marker>
          <c:cat>
            <c:multiLvlStrRef>
              <c:f>'full year comparisons'!$G$4:$H$9</c:f>
              <c:multiLvlStrCache>
                <c:ptCount val="6"/>
                <c:lvl>
                  <c:pt idx="0">
                    <c:v>H1</c:v>
                  </c:pt>
                  <c:pt idx="1">
                    <c:v>H2</c:v>
                  </c:pt>
                  <c:pt idx="2">
                    <c:v>H1</c:v>
                  </c:pt>
                  <c:pt idx="3">
                    <c:v>H2</c:v>
                  </c:pt>
                  <c:pt idx="4">
                    <c:v>H1</c:v>
                  </c:pt>
                  <c:pt idx="5">
                    <c:v>H2</c:v>
                  </c:pt>
                </c:lvl>
                <c:lvl>
                  <c:pt idx="0">
                    <c:v>2018</c:v>
                  </c:pt>
                  <c:pt idx="1">
                    <c:v>2018</c:v>
                  </c:pt>
                  <c:pt idx="2">
                    <c:v>2019</c:v>
                  </c:pt>
                  <c:pt idx="3">
                    <c:v>2019</c:v>
                  </c:pt>
                  <c:pt idx="4">
                    <c:v>2020</c:v>
                  </c:pt>
                  <c:pt idx="5">
                    <c:v>2020</c:v>
                  </c:pt>
                </c:lvl>
              </c:multiLvlStrCache>
            </c:multiLvlStrRef>
          </c:cat>
          <c:val>
            <c:numRef>
              <c:f>'full year comparisons'!$T$4:$T$6</c:f>
              <c:numCache>
                <c:formatCode>General</c:formatCode>
                <c:ptCount val="3"/>
                <c:pt idx="0">
                  <c:v>314</c:v>
                </c:pt>
                <c:pt idx="1">
                  <c:v>415</c:v>
                </c:pt>
                <c:pt idx="2">
                  <c:v>501</c:v>
                </c:pt>
              </c:numCache>
            </c:numRef>
          </c:val>
          <c:smooth val="0"/>
          <c:extLst>
            <c:ext xmlns:c16="http://schemas.microsoft.com/office/drawing/2014/chart" uri="{C3380CC4-5D6E-409C-BE32-E72D297353CC}">
              <c16:uniqueId val="{00000009-53FA-451A-969B-F43D3E62D91D}"/>
            </c:ext>
          </c:extLst>
        </c:ser>
        <c:ser>
          <c:idx val="11"/>
          <c:order val="10"/>
          <c:tx>
            <c:strRef>
              <c:f>'full year comparisons'!$U$3</c:f>
              <c:strCache>
                <c:ptCount val="1"/>
                <c:pt idx="0">
                  <c:v>Journal 5 - Submissions</c:v>
                </c:pt>
              </c:strCache>
            </c:strRef>
          </c:tx>
          <c:spPr>
            <a:ln w="44450" cap="rnd">
              <a:solidFill>
                <a:schemeClr val="accent5"/>
              </a:solidFill>
              <a:round/>
            </a:ln>
            <a:effectLst/>
          </c:spPr>
          <c:marker>
            <c:symbol val="circle"/>
            <c:size val="5"/>
            <c:spPr>
              <a:solidFill>
                <a:schemeClr val="accent5"/>
              </a:solidFill>
              <a:ln w="44450">
                <a:solidFill>
                  <a:schemeClr val="accent5"/>
                </a:solidFill>
              </a:ln>
              <a:effectLst/>
            </c:spPr>
          </c:marker>
          <c:cat>
            <c:multiLvlStrRef>
              <c:f>'full year comparisons'!$G$4:$H$9</c:f>
              <c:multiLvlStrCache>
                <c:ptCount val="6"/>
                <c:lvl>
                  <c:pt idx="0">
                    <c:v>H1</c:v>
                  </c:pt>
                  <c:pt idx="1">
                    <c:v>H2</c:v>
                  </c:pt>
                  <c:pt idx="2">
                    <c:v>H1</c:v>
                  </c:pt>
                  <c:pt idx="3">
                    <c:v>H2</c:v>
                  </c:pt>
                  <c:pt idx="4">
                    <c:v>H1</c:v>
                  </c:pt>
                  <c:pt idx="5">
                    <c:v>H2</c:v>
                  </c:pt>
                </c:lvl>
                <c:lvl>
                  <c:pt idx="0">
                    <c:v>2018</c:v>
                  </c:pt>
                  <c:pt idx="1">
                    <c:v>2018</c:v>
                  </c:pt>
                  <c:pt idx="2">
                    <c:v>2019</c:v>
                  </c:pt>
                  <c:pt idx="3">
                    <c:v>2019</c:v>
                  </c:pt>
                  <c:pt idx="4">
                    <c:v>2020</c:v>
                  </c:pt>
                  <c:pt idx="5">
                    <c:v>2020</c:v>
                  </c:pt>
                </c:lvl>
              </c:multiLvlStrCache>
            </c:multiLvlStrRef>
          </c:cat>
          <c:val>
            <c:numRef>
              <c:f>'full year comparisons'!$U$4:$U$6</c:f>
              <c:numCache>
                <c:formatCode>General</c:formatCode>
                <c:ptCount val="3"/>
                <c:pt idx="0">
                  <c:v>217</c:v>
                </c:pt>
                <c:pt idx="1">
                  <c:v>140</c:v>
                </c:pt>
                <c:pt idx="2">
                  <c:v>163</c:v>
                </c:pt>
              </c:numCache>
            </c:numRef>
          </c:val>
          <c:smooth val="0"/>
          <c:extLst>
            <c:ext xmlns:c16="http://schemas.microsoft.com/office/drawing/2014/chart" uri="{C3380CC4-5D6E-409C-BE32-E72D297353CC}">
              <c16:uniqueId val="{0000000A-53FA-451A-969B-F43D3E62D91D}"/>
            </c:ext>
          </c:extLst>
        </c:ser>
        <c:ser>
          <c:idx val="12"/>
          <c:order val="11"/>
          <c:tx>
            <c:strRef>
              <c:f>'full year comparisons'!$V$3</c:f>
              <c:strCache>
                <c:ptCount val="1"/>
                <c:pt idx="0">
                  <c:v>Journal 6 - Submissions</c:v>
                </c:pt>
              </c:strCache>
            </c:strRef>
          </c:tx>
          <c:spPr>
            <a:ln w="44450" cap="rnd">
              <a:solidFill>
                <a:schemeClr val="accent6"/>
              </a:solidFill>
              <a:round/>
            </a:ln>
            <a:effectLst/>
          </c:spPr>
          <c:marker>
            <c:symbol val="circle"/>
            <c:size val="5"/>
            <c:spPr>
              <a:solidFill>
                <a:schemeClr val="accent6"/>
              </a:solidFill>
              <a:ln w="44450">
                <a:solidFill>
                  <a:schemeClr val="accent6"/>
                </a:solidFill>
              </a:ln>
              <a:effectLst/>
            </c:spPr>
          </c:marker>
          <c:cat>
            <c:multiLvlStrRef>
              <c:f>'full year comparisons'!$G$4:$H$9</c:f>
              <c:multiLvlStrCache>
                <c:ptCount val="6"/>
                <c:lvl>
                  <c:pt idx="0">
                    <c:v>H1</c:v>
                  </c:pt>
                  <c:pt idx="1">
                    <c:v>H2</c:v>
                  </c:pt>
                  <c:pt idx="2">
                    <c:v>H1</c:v>
                  </c:pt>
                  <c:pt idx="3">
                    <c:v>H2</c:v>
                  </c:pt>
                  <c:pt idx="4">
                    <c:v>H1</c:v>
                  </c:pt>
                  <c:pt idx="5">
                    <c:v>H2</c:v>
                  </c:pt>
                </c:lvl>
                <c:lvl>
                  <c:pt idx="0">
                    <c:v>2018</c:v>
                  </c:pt>
                  <c:pt idx="1">
                    <c:v>2018</c:v>
                  </c:pt>
                  <c:pt idx="2">
                    <c:v>2019</c:v>
                  </c:pt>
                  <c:pt idx="3">
                    <c:v>2019</c:v>
                  </c:pt>
                  <c:pt idx="4">
                    <c:v>2020</c:v>
                  </c:pt>
                  <c:pt idx="5">
                    <c:v>2020</c:v>
                  </c:pt>
                </c:lvl>
              </c:multiLvlStrCache>
            </c:multiLvlStrRef>
          </c:cat>
          <c:val>
            <c:numRef>
              <c:f>'full year comparisons'!$V$4:$V$6</c:f>
              <c:numCache>
                <c:formatCode>General</c:formatCode>
                <c:ptCount val="3"/>
                <c:pt idx="0">
                  <c:v>113</c:v>
                </c:pt>
                <c:pt idx="1">
                  <c:v>92</c:v>
                </c:pt>
                <c:pt idx="2">
                  <c:v>67</c:v>
                </c:pt>
              </c:numCache>
            </c:numRef>
          </c:val>
          <c:smooth val="0"/>
          <c:extLst>
            <c:ext xmlns:c16="http://schemas.microsoft.com/office/drawing/2014/chart" uri="{C3380CC4-5D6E-409C-BE32-E72D297353CC}">
              <c16:uniqueId val="{0000000B-53FA-451A-969B-F43D3E62D91D}"/>
            </c:ext>
          </c:extLst>
        </c:ser>
        <c:dLbls>
          <c:showLegendKey val="0"/>
          <c:showVal val="0"/>
          <c:showCatName val="0"/>
          <c:showSerName val="0"/>
          <c:showPercent val="0"/>
          <c:showBubbleSize val="0"/>
        </c:dLbls>
        <c:marker val="1"/>
        <c:smooth val="0"/>
        <c:axId val="1989609008"/>
        <c:axId val="1979507824"/>
      </c:lineChart>
      <c:catAx>
        <c:axId val="19832452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mn-lt"/>
                <a:ea typeface="+mn-ea"/>
                <a:cs typeface="+mn-cs"/>
              </a:defRPr>
            </a:pPr>
            <a:endParaRPr lang="en-US"/>
          </a:p>
        </c:txPr>
        <c:crossAx val="1983250288"/>
        <c:crosses val="autoZero"/>
        <c:auto val="1"/>
        <c:lblAlgn val="ctr"/>
        <c:lblOffset val="100"/>
        <c:noMultiLvlLbl val="0"/>
      </c:catAx>
      <c:valAx>
        <c:axId val="1983250288"/>
        <c:scaling>
          <c:orientation val="minMax"/>
          <c:max val="7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800" b="0" i="0" u="none" strike="noStrike" kern="1200" baseline="0">
                    <a:solidFill>
                      <a:sysClr val="windowText" lastClr="000000"/>
                    </a:solidFill>
                    <a:latin typeface="+mn-lt"/>
                    <a:ea typeface="+mn-ea"/>
                    <a:cs typeface="+mn-cs"/>
                  </a:defRPr>
                </a:pPr>
                <a:r>
                  <a:rPr lang="en-GB" sz="800"/>
                  <a:t>Articles</a:t>
                </a:r>
              </a:p>
            </c:rich>
          </c:tx>
          <c:layout>
            <c:manualLayout>
              <c:xMode val="edge"/>
              <c:yMode val="edge"/>
              <c:x val="9.7664832750347149E-3"/>
              <c:y val="0.39683520740149564"/>
            </c:manualLayout>
          </c:layout>
          <c:overlay val="0"/>
          <c:spPr>
            <a:noFill/>
            <a:ln>
              <a:noFill/>
            </a:ln>
            <a:effectLst/>
          </c:spPr>
          <c:txPr>
            <a:bodyPr rot="-5400000" spcFirstLastPara="1" vertOverflow="ellipsis" vert="horz" wrap="square" anchor="ctr" anchorCtr="1"/>
            <a:lstStyle/>
            <a:p>
              <a:pPr>
                <a:defRPr sz="8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mn-lt"/>
                <a:ea typeface="+mn-ea"/>
                <a:cs typeface="+mn-cs"/>
              </a:defRPr>
            </a:pPr>
            <a:endParaRPr lang="en-US"/>
          </a:p>
        </c:txPr>
        <c:crossAx val="1983245296"/>
        <c:crosses val="autoZero"/>
        <c:crossBetween val="between"/>
      </c:valAx>
      <c:valAx>
        <c:axId val="1979507824"/>
        <c:scaling>
          <c:orientation val="minMax"/>
        </c:scaling>
        <c:delete val="1"/>
        <c:axPos val="r"/>
        <c:numFmt formatCode="General" sourceLinked="1"/>
        <c:majorTickMark val="out"/>
        <c:minorTickMark val="none"/>
        <c:tickLblPos val="nextTo"/>
        <c:crossAx val="1989609008"/>
        <c:crosses val="max"/>
        <c:crossBetween val="between"/>
      </c:valAx>
      <c:catAx>
        <c:axId val="1989609008"/>
        <c:scaling>
          <c:orientation val="minMax"/>
        </c:scaling>
        <c:delete val="0"/>
        <c:axPos val="t"/>
        <c:numFmt formatCode="General" sourceLinked="1"/>
        <c:majorTickMark val="out"/>
        <c:minorTickMark val="none"/>
        <c:tickLblPos val="nextTo"/>
        <c:spPr>
          <a:noFill/>
          <a:ln w="9525" cap="flat" cmpd="sng" algn="ctr">
            <a:noFill/>
            <a:round/>
          </a:ln>
          <a:effectLst/>
        </c:spPr>
        <c:txPr>
          <a:bodyPr rot="-60000000" spcFirstLastPara="1" vertOverflow="ellipsis" vert="horz" wrap="square" anchor="ctr" anchorCtr="1"/>
          <a:lstStyle/>
          <a:p>
            <a:pPr>
              <a:defRPr sz="700" b="0" i="0" u="none" strike="noStrike" kern="1200" baseline="0">
                <a:solidFill>
                  <a:schemeClr val="bg1"/>
                </a:solidFill>
                <a:latin typeface="+mn-lt"/>
                <a:ea typeface="+mn-ea"/>
                <a:cs typeface="+mn-cs"/>
              </a:defRPr>
            </a:pPr>
            <a:endParaRPr lang="en-US"/>
          </a:p>
        </c:txPr>
        <c:crossAx val="1979507824"/>
        <c:crosses val="max"/>
        <c:auto val="1"/>
        <c:lblAlgn val="ctr"/>
        <c:lblOffset val="100"/>
        <c:noMultiLvlLbl val="0"/>
      </c:catAx>
      <c:spPr>
        <a:noFill/>
        <a:ln>
          <a:noFill/>
        </a:ln>
        <a:effectLst/>
      </c:spPr>
    </c:plotArea>
    <c:legend>
      <c:legendPos val="r"/>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800">
          <a:solidFill>
            <a:sysClr val="windowText" lastClr="000000"/>
          </a:solidFill>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a:t>Immediacy Index by journal</a:t>
            </a:r>
            <a:r>
              <a:rPr lang="en-GB" baseline="0"/>
              <a:t> - 2016‒2020</a:t>
            </a:r>
            <a:endParaRPr lang="en-GB"/>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Sheet1!$E$1</c:f>
              <c:strCache>
                <c:ptCount val="1"/>
                <c:pt idx="0">
                  <c:v>2016</c:v>
                </c:pt>
              </c:strCache>
            </c:strRef>
          </c:tx>
          <c:spPr>
            <a:solidFill>
              <a:schemeClr val="accent1"/>
            </a:solidFill>
            <a:ln>
              <a:noFill/>
            </a:ln>
            <a:effectLst/>
          </c:spPr>
          <c:invertIfNegative val="0"/>
          <c:cat>
            <c:strRef>
              <c:f>Sheet1!$B$3:$B$7</c:f>
              <c:strCache>
                <c:ptCount val="5"/>
                <c:pt idx="0">
                  <c:v>Australian Journal of Earth Sciences</c:v>
                </c:pt>
                <c:pt idx="1">
                  <c:v>Cartography and Geographic Information Science</c:v>
                </c:pt>
                <c:pt idx="2">
                  <c:v>International Journal of Geographical Information Science</c:v>
                </c:pt>
                <c:pt idx="3">
                  <c:v>GIScience &amp; Remote Sensing</c:v>
                </c:pt>
                <c:pt idx="4">
                  <c:v>Journal of Freshwater Ecology</c:v>
                </c:pt>
              </c:strCache>
            </c:strRef>
          </c:cat>
          <c:val>
            <c:numRef>
              <c:f>Sheet1!$E$3:$E$7</c:f>
              <c:numCache>
                <c:formatCode>General</c:formatCode>
                <c:ptCount val="5"/>
                <c:pt idx="0">
                  <c:v>0.27800000000000002</c:v>
                </c:pt>
                <c:pt idx="1">
                  <c:v>0.61299999999999999</c:v>
                </c:pt>
                <c:pt idx="2">
                  <c:v>0.74199999999999999</c:v>
                </c:pt>
                <c:pt idx="3">
                  <c:v>0.56100000000000005</c:v>
                </c:pt>
                <c:pt idx="4">
                  <c:v>0.189</c:v>
                </c:pt>
              </c:numCache>
            </c:numRef>
          </c:val>
          <c:extLst>
            <c:ext xmlns:c16="http://schemas.microsoft.com/office/drawing/2014/chart" uri="{C3380CC4-5D6E-409C-BE32-E72D297353CC}">
              <c16:uniqueId val="{00000000-16C7-4217-8B9F-E94CF1E8AD3F}"/>
            </c:ext>
          </c:extLst>
        </c:ser>
        <c:ser>
          <c:idx val="1"/>
          <c:order val="1"/>
          <c:tx>
            <c:strRef>
              <c:f>Sheet1!$F$1</c:f>
              <c:strCache>
                <c:ptCount val="1"/>
                <c:pt idx="0">
                  <c:v>2017</c:v>
                </c:pt>
              </c:strCache>
            </c:strRef>
          </c:tx>
          <c:spPr>
            <a:solidFill>
              <a:schemeClr val="accent2"/>
            </a:solidFill>
            <a:ln>
              <a:noFill/>
            </a:ln>
            <a:effectLst/>
          </c:spPr>
          <c:invertIfNegative val="0"/>
          <c:cat>
            <c:strRef>
              <c:f>Sheet1!$B$3:$B$7</c:f>
              <c:strCache>
                <c:ptCount val="5"/>
                <c:pt idx="0">
                  <c:v>Australian Journal of Earth Sciences</c:v>
                </c:pt>
                <c:pt idx="1">
                  <c:v>Cartography and Geographic Information Science</c:v>
                </c:pt>
                <c:pt idx="2">
                  <c:v>International Journal of Geographical Information Science</c:v>
                </c:pt>
                <c:pt idx="3">
                  <c:v>GIScience &amp; Remote Sensing</c:v>
                </c:pt>
                <c:pt idx="4">
                  <c:v>Journal of Freshwater Ecology</c:v>
                </c:pt>
              </c:strCache>
            </c:strRef>
          </c:cat>
          <c:val>
            <c:numRef>
              <c:f>Sheet1!$F$3:$F$7</c:f>
              <c:numCache>
                <c:formatCode>General</c:formatCode>
                <c:ptCount val="5"/>
                <c:pt idx="0">
                  <c:v>0.33900000000000002</c:v>
                </c:pt>
                <c:pt idx="1">
                  <c:v>0.79500000000000004</c:v>
                </c:pt>
                <c:pt idx="2">
                  <c:v>0.93</c:v>
                </c:pt>
                <c:pt idx="3">
                  <c:v>0.81799999999999995</c:v>
                </c:pt>
                <c:pt idx="4">
                  <c:v>9.4E-2</c:v>
                </c:pt>
              </c:numCache>
            </c:numRef>
          </c:val>
          <c:extLst>
            <c:ext xmlns:c16="http://schemas.microsoft.com/office/drawing/2014/chart" uri="{C3380CC4-5D6E-409C-BE32-E72D297353CC}">
              <c16:uniqueId val="{00000001-16C7-4217-8B9F-E94CF1E8AD3F}"/>
            </c:ext>
          </c:extLst>
        </c:ser>
        <c:ser>
          <c:idx val="2"/>
          <c:order val="2"/>
          <c:tx>
            <c:strRef>
              <c:f>Sheet1!$G$1</c:f>
              <c:strCache>
                <c:ptCount val="1"/>
                <c:pt idx="0">
                  <c:v>2018</c:v>
                </c:pt>
              </c:strCache>
            </c:strRef>
          </c:tx>
          <c:spPr>
            <a:solidFill>
              <a:schemeClr val="accent3"/>
            </a:solidFill>
            <a:ln>
              <a:noFill/>
            </a:ln>
            <a:effectLst/>
          </c:spPr>
          <c:invertIfNegative val="0"/>
          <c:cat>
            <c:strRef>
              <c:f>Sheet1!$B$3:$B$7</c:f>
              <c:strCache>
                <c:ptCount val="5"/>
                <c:pt idx="0">
                  <c:v>Australian Journal of Earth Sciences</c:v>
                </c:pt>
                <c:pt idx="1">
                  <c:v>Cartography and Geographic Information Science</c:v>
                </c:pt>
                <c:pt idx="2">
                  <c:v>International Journal of Geographical Information Science</c:v>
                </c:pt>
                <c:pt idx="3">
                  <c:v>GIScience &amp; Remote Sensing</c:v>
                </c:pt>
                <c:pt idx="4">
                  <c:v>Journal of Freshwater Ecology</c:v>
                </c:pt>
              </c:strCache>
            </c:strRef>
          </c:cat>
          <c:val>
            <c:numRef>
              <c:f>Sheet1!$G$3:$G$7</c:f>
              <c:numCache>
                <c:formatCode>General</c:formatCode>
                <c:ptCount val="5"/>
                <c:pt idx="0">
                  <c:v>1.2330000000000001</c:v>
                </c:pt>
                <c:pt idx="1">
                  <c:v>1.2370000000000001</c:v>
                </c:pt>
                <c:pt idx="2">
                  <c:v>0.80900000000000005</c:v>
                </c:pt>
                <c:pt idx="3">
                  <c:v>2.4049999999999998</c:v>
                </c:pt>
                <c:pt idx="4">
                  <c:v>8.1000000000000003E-2</c:v>
                </c:pt>
              </c:numCache>
            </c:numRef>
          </c:val>
          <c:extLst>
            <c:ext xmlns:c16="http://schemas.microsoft.com/office/drawing/2014/chart" uri="{C3380CC4-5D6E-409C-BE32-E72D297353CC}">
              <c16:uniqueId val="{00000002-16C7-4217-8B9F-E94CF1E8AD3F}"/>
            </c:ext>
          </c:extLst>
        </c:ser>
        <c:ser>
          <c:idx val="3"/>
          <c:order val="3"/>
          <c:tx>
            <c:strRef>
              <c:f>Sheet1!$H$1</c:f>
              <c:strCache>
                <c:ptCount val="1"/>
                <c:pt idx="0">
                  <c:v>2019</c:v>
                </c:pt>
              </c:strCache>
            </c:strRef>
          </c:tx>
          <c:spPr>
            <a:solidFill>
              <a:schemeClr val="accent4"/>
            </a:solidFill>
            <a:ln>
              <a:noFill/>
            </a:ln>
            <a:effectLst/>
          </c:spPr>
          <c:invertIfNegative val="0"/>
          <c:cat>
            <c:strRef>
              <c:f>Sheet1!$B$3:$B$7</c:f>
              <c:strCache>
                <c:ptCount val="5"/>
                <c:pt idx="0">
                  <c:v>Australian Journal of Earth Sciences</c:v>
                </c:pt>
                <c:pt idx="1">
                  <c:v>Cartography and Geographic Information Science</c:v>
                </c:pt>
                <c:pt idx="2">
                  <c:v>International Journal of Geographical Information Science</c:v>
                </c:pt>
                <c:pt idx="3">
                  <c:v>GIScience &amp; Remote Sensing</c:v>
                </c:pt>
                <c:pt idx="4">
                  <c:v>Journal of Freshwater Ecology</c:v>
                </c:pt>
              </c:strCache>
            </c:strRef>
          </c:cat>
          <c:val>
            <c:numRef>
              <c:f>Sheet1!$H$3:$H$7</c:f>
              <c:numCache>
                <c:formatCode>General</c:formatCode>
                <c:ptCount val="5"/>
                <c:pt idx="0">
                  <c:v>0.83899999999999997</c:v>
                </c:pt>
                <c:pt idx="1">
                  <c:v>0.51400000000000001</c:v>
                </c:pt>
                <c:pt idx="2">
                  <c:v>1.0269999999999999</c:v>
                </c:pt>
                <c:pt idx="3">
                  <c:v>1.5589999999999999</c:v>
                </c:pt>
                <c:pt idx="4">
                  <c:v>0.14799999999999999</c:v>
                </c:pt>
              </c:numCache>
            </c:numRef>
          </c:val>
          <c:extLst>
            <c:ext xmlns:c16="http://schemas.microsoft.com/office/drawing/2014/chart" uri="{C3380CC4-5D6E-409C-BE32-E72D297353CC}">
              <c16:uniqueId val="{00000003-16C7-4217-8B9F-E94CF1E8AD3F}"/>
            </c:ext>
          </c:extLst>
        </c:ser>
        <c:ser>
          <c:idx val="4"/>
          <c:order val="4"/>
          <c:tx>
            <c:strRef>
              <c:f>Sheet1!$I$1</c:f>
              <c:strCache>
                <c:ptCount val="1"/>
                <c:pt idx="0">
                  <c:v>2020</c:v>
                </c:pt>
              </c:strCache>
            </c:strRef>
          </c:tx>
          <c:spPr>
            <a:solidFill>
              <a:schemeClr val="accent5"/>
            </a:solidFill>
            <a:ln>
              <a:noFill/>
            </a:ln>
            <a:effectLst/>
          </c:spPr>
          <c:invertIfNegative val="0"/>
          <c:cat>
            <c:strRef>
              <c:f>Sheet1!$B$3:$B$7</c:f>
              <c:strCache>
                <c:ptCount val="5"/>
                <c:pt idx="0">
                  <c:v>Australian Journal of Earth Sciences</c:v>
                </c:pt>
                <c:pt idx="1">
                  <c:v>Cartography and Geographic Information Science</c:v>
                </c:pt>
                <c:pt idx="2">
                  <c:v>International Journal of Geographical Information Science</c:v>
                </c:pt>
                <c:pt idx="3">
                  <c:v>GIScience &amp; Remote Sensing</c:v>
                </c:pt>
                <c:pt idx="4">
                  <c:v>Journal of Freshwater Ecology</c:v>
                </c:pt>
              </c:strCache>
            </c:strRef>
          </c:cat>
          <c:val>
            <c:numRef>
              <c:f>Sheet1!$I$3:$I$7</c:f>
              <c:numCache>
                <c:formatCode>General</c:formatCode>
                <c:ptCount val="5"/>
                <c:pt idx="0">
                  <c:v>1.113</c:v>
                </c:pt>
                <c:pt idx="1">
                  <c:v>0.69599999999999995</c:v>
                </c:pt>
                <c:pt idx="2">
                  <c:v>1.9470000000000001</c:v>
                </c:pt>
                <c:pt idx="3">
                  <c:v>1.859</c:v>
                </c:pt>
                <c:pt idx="4">
                  <c:v>0.21199999999999999</c:v>
                </c:pt>
              </c:numCache>
            </c:numRef>
          </c:val>
          <c:extLst>
            <c:ext xmlns:c16="http://schemas.microsoft.com/office/drawing/2014/chart" uri="{C3380CC4-5D6E-409C-BE32-E72D297353CC}">
              <c16:uniqueId val="{00000004-16C7-4217-8B9F-E94CF1E8AD3F}"/>
            </c:ext>
          </c:extLst>
        </c:ser>
        <c:dLbls>
          <c:showLegendKey val="0"/>
          <c:showVal val="0"/>
          <c:showCatName val="0"/>
          <c:showSerName val="0"/>
          <c:showPercent val="0"/>
          <c:showBubbleSize val="0"/>
        </c:dLbls>
        <c:gapWidth val="219"/>
        <c:overlap val="-27"/>
        <c:axId val="586922776"/>
        <c:axId val="586925400"/>
      </c:barChart>
      <c:catAx>
        <c:axId val="5869227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86925400"/>
        <c:crosses val="autoZero"/>
        <c:auto val="1"/>
        <c:lblAlgn val="ctr"/>
        <c:lblOffset val="100"/>
        <c:noMultiLvlLbl val="0"/>
      </c:catAx>
      <c:valAx>
        <c:axId val="58692540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Immediacy Index</a:t>
                </a:r>
              </a:p>
            </c:rich>
          </c:tx>
          <c:layout>
            <c:manualLayout>
              <c:xMode val="edge"/>
              <c:yMode val="edge"/>
              <c:x val="1.6666666666666666E-2"/>
              <c:y val="0.22664698162729663"/>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8692277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08E359EDC9EEB4E95777507A08ECE8D" ma:contentTypeVersion="13" ma:contentTypeDescription="Create a new document." ma:contentTypeScope="" ma:versionID="3b1c13a19b9fbe7ae33233a87a4a058b">
  <xsd:schema xmlns:xsd="http://www.w3.org/2001/XMLSchema" xmlns:xs="http://www.w3.org/2001/XMLSchema" xmlns:p="http://schemas.microsoft.com/office/2006/metadata/properties" xmlns:ns3="76e05d89-9aae-41dd-99b9-9ac395fc7c81" xmlns:ns4="3e2df787-0777-46b4-a4fe-4764e012cd78" targetNamespace="http://schemas.microsoft.com/office/2006/metadata/properties" ma:root="true" ma:fieldsID="9856acc96b3bb35047192e90beed8580" ns3:_="" ns4:_="">
    <xsd:import namespace="76e05d89-9aae-41dd-99b9-9ac395fc7c81"/>
    <xsd:import namespace="3e2df787-0777-46b4-a4fe-4764e012cd78"/>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e05d89-9aae-41dd-99b9-9ac395fc7c8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e2df787-0777-46b4-a4fe-4764e012cd78"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b:Source>
    <b:Tag>Cogent</b:Tag>
    <b:SourceType>InternetSite</b:SourceType>
    <b:Guid>{9563B55C-C161-420D-B18F-B11E1CACADCF}</b:Guid>
    <b:URL>http://www.cogentoa.com/who-we-are</b:URL>
    <b:Title>Cogent who we are</b:Title>
    <b:InternetSiteTitle>Cogent</b:InternetSiteTitle>
    <b:Author>
      <b:Author>
        <b:NameList>
          <b:Person>
            <b:Last>Informa UK LTD</b:Last>
          </b:Person>
        </b:NameList>
      </b:Author>
    </b:Author>
    <b:YearAccessed>2021</b:YearAccessed>
    <b:RefOrder>1</b:RefOrder>
  </b:Source>
  <b:Source>
    <b:Tag>STM</b:Tag>
    <b:SourceType>InternetSite</b:SourceType>
    <b:Guid>{9E265C0A-A65D-41AC-9876-6EECC78D0522}</b:Guid>
    <b:Author>
      <b:Author>
        <b:NameList>
          <b:Person>
            <b:Last>Science Technical Medical Association</b:Last>
          </b:Person>
        </b:NameList>
      </b:Author>
    </b:Author>
    <b:Title>STM-assoc</b:Title>
    <b:URL>https://www.stm-assoc.org/</b:URL>
    <b:RefOrder>3</b:RefOrder>
  </b:Source>
  <b:Source>
    <b:Tag>Res</b:Tag>
    <b:SourceType>InternetSite</b:SourceType>
    <b:Guid>{239F0BC2-5B63-40A4-91A4-25B62B87FAA7}</b:Guid>
    <b:Author>
      <b:Author>
        <b:NameList>
          <b:Person>
            <b:Last>Research Data Alliance</b:Last>
          </b:Person>
        </b:NameList>
      </b:Author>
    </b:Author>
    <b:URL>https://www.rd-alliance.org/</b:URL>
    <b:RefOrder>4</b:RefOrder>
  </b:Source>
  <b:Source>
    <b:Tag>Jon19</b:Tag>
    <b:SourceType>JournalArticle</b:SourceType>
    <b:Guid>{ACB0DB7F-1A16-41F9-B7FB-66DB1D46DF11}</b:Guid>
    <b:Title>Implementing Publisher Policies That Inform, Support and Encourage Authors to Share Data: Two Case Studies</b:Title>
    <b:Year>2019</b:Year>
    <b:Author>
      <b:Author>
        <b:NameList>
          <b:Person>
            <b:Last>Jones</b:Last>
            <b:First>Leila,</b:First>
            <b:Middle>Rebecca Grant, and Iain Hrynaszkiewicz</b:Middle>
          </b:Person>
        </b:NameList>
      </b:Author>
    </b:Author>
    <b:JournalName>Insights</b:JournalName>
    <b:Pages>1-11</b:Pages>
    <b:Publisher>Ubiquity Press</b:Publisher>
    <b:Volume>32</b:Volume>
    <b:DOI>http://doi.org/10.1629/uksg.463</b:DOI>
    <b:RefOrder>5</b:RefOrder>
  </b:Source>
  <b:Source>
    <b:Tag>Wil16</b:Tag>
    <b:SourceType>JournalArticle</b:SourceType>
    <b:Guid>{C78423AD-83E8-4255-96F7-EBE6D91958C6}</b:Guid>
    <b:Author>
      <b:Author>
        <b:NameList>
          <b:Person>
            <b:Last>Wilkinson</b:Last>
            <b:First>M.,</b:First>
            <b:Middle>Dumontier, M., Aalbersberg, I. et al</b:Middle>
          </b:Person>
        </b:NameList>
      </b:Author>
    </b:Author>
    <b:Title>The FAIR Guiding Principles for scientific data management and stewardship</b:Title>
    <b:JournalName>Scientific Data</b:JournalName>
    <b:Year>2016</b:Year>
    <b:Pages>1-9</b:Pages>
    <b:Publisher>Nature</b:Publisher>
    <b:Volume>3</b:Volume>
    <b:DOI>https://doi.org/10.1038/sdata.2016.18</b:DOI>
    <b:RefOrder>6</b:RefOrder>
  </b:Source>
  <b:Source>
    <b:Tag>alB15</b:Tag>
    <b:SourceType>JournalArticle</b:SourceType>
    <b:Guid>{77132BFB-39E8-4026-91E1-5C2CAFF73F0E}</b:Guid>
    <b:Author>
      <b:Author>
        <b:NameList>
          <b:Person>
            <b:Last>B. A. Nosek</b:Last>
            <b:First>G.</b:First>
            <b:Middle>Alter, G. C. Banks, D. Borsboom, S. D. Bowman, S. J. Breckler, S. Buck, C. D. Chambers</b:Middle>
          </b:Person>
        </b:NameList>
      </b:Author>
    </b:Author>
    <b:Title>Promoting an open research culture</b:Title>
    <b:JournalName>Science</b:JournalName>
    <b:Year>2015</b:Year>
    <b:Pages>1422-1425</b:Pages>
    <b:DOI>10.1126/science.aab2374</b:DOI>
    <b:RefOrder>7</b:RefOrder>
  </b:Source>
  <b:Source>
    <b:Tag>COPDESS</b:Tag>
    <b:SourceType>InternetSite</b:SourceType>
    <b:Guid>{8B6A6697-3D91-46ED-BA3E-5E74EDF582DB}</b:Guid>
    <b:Title>Coalition for Publishing Data in the Earth and Space Sciences</b:Title>
    <b:Author>
      <b:Author>
        <b:NameList>
          <b:Person>
            <b:Last>COPDESS</b:Last>
          </b:Person>
        </b:NameList>
      </b:Author>
    </b:Author>
    <b:URL>https://copdess.org/</b:URL>
    <b:YearAccessed>2021</b:YearAccessed>
    <b:RefOrder>8</b:RefOrder>
  </b:Source>
  <b:Source>
    <b:Tag>COP</b:Tag>
    <b:SourceType>InternetSite</b:SourceType>
    <b:Guid>{49ABA3B6-7BAD-4881-9F57-597A5B4D4456}</b:Guid>
    <b:Author>
      <b:Author>
        <b:NameList>
          <b:Person>
            <b:Last>COPDESS</b:Last>
          </b:Person>
        </b:NameList>
      </b:Author>
    </b:Author>
    <b:Title>Enabling FAIR data project</b:Title>
    <b:InternetSiteTitle>Coalition for Publishing Data in the Earth and Space Sciences</b:InternetSiteTitle>
    <b:URL>https://copdess.org/enabling-fair-data-project/</b:URL>
    <b:RefOrder>9</b:RefOrder>
  </b:Source>
  <b:Source>
    <b:Tag>Gio20</b:Tag>
    <b:SourceType>JournalArticle</b:SourceType>
    <b:Guid>{1CAD13CE-4309-4369-9F7D-5C04F3E240E5}</b:Guid>
    <b:Title>The citation advantage of linking publications to research data</b:Title>
    <b:Year>2020</b:Year>
    <b:Author>
      <b:Author>
        <b:NameList>
          <b:Person>
            <b:Last>Giovanni Colavizza</b:Last>
            <b:First>Iain</b:First>
            <b:Middle>Hrynaszkiewicz ,Isla Staden, Kirstie Whitaker, Barbara McGillivray</b:Middle>
          </b:Person>
        </b:NameList>
      </b:Author>
    </b:Author>
    <b:JournalName>PLOS ONE</b:JournalName>
    <b:Pages>1-18</b:Pages>
    <b:DOI>https://doi.org/10.1371/journal.pone.0230416</b:DOI>
    <b:RefOrder>10</b:RefOrder>
  </b:Source>
  <b:Source>
    <b:Tag>Vines</b:Tag>
    <b:SourceType>InternetSite</b:SourceType>
    <b:Guid>{5B012B10-0026-4DD3-B2D3-A87ECE106BAB}</b:Guid>
    <b:Title>Does Adopting a Strict Data Sharing Policy Affect Submissions?</b:Title>
    <b:Year>2018</b:Year>
    <b:Author>
      <b:Author>
        <b:NameList>
          <b:Person>
            <b:Last>Vines</b:Last>
            <b:First>Tim</b:First>
          </b:Person>
        </b:NameList>
      </b:Author>
    </b:Author>
    <b:InternetSiteTitle>The Scholarly Kitchen</b:InternetSiteTitle>
    <b:URL>https://scholarlykitchen.sspnet.org/2018/09/25/does-adopting-a-strict-data-sharing-policy-affect-submissions/</b:URL>
    <b:RefOrder>11</b:RefOrder>
  </b:Source>
  <b:Source>
    <b:Tag>NAS</b:Tag>
    <b:SourceType>InternetSite</b:SourceType>
    <b:Guid>{FCD127C1-782A-4806-9D5F-DB05BE488813}</b:Guid>
    <b:Author>
      <b:Author>
        <b:NameList>
          <b:Person>
            <b:Last>NASA</b:Last>
          </b:Person>
        </b:NameList>
      </b:Author>
    </b:Author>
    <b:Title>National Space Science Data Center</b:Title>
    <b:InternetSiteTitle>NASA Science</b:InternetSiteTitle>
    <b:URL>https://science.nasa.gov/national-space-science-data-center</b:URL>
    <b:RefOrder>13</b:RefOrder>
  </b:Source>
  <b:Source>
    <b:Tag>Eur</b:Tag>
    <b:SourceType>InternetSite</b:SourceType>
    <b:Guid>{6FFF72C2-9385-46B1-9245-55902F59C089}</b:Guid>
    <b:Author>
      <b:Author>
        <b:NameList>
          <b:Person>
            <b:Last>European Commission</b:Last>
          </b:Person>
        </b:NameList>
      </b:Author>
    </b:Author>
    <b:Title>EU data protection rules</b:Title>
    <b:InternetSiteTitle>European Commission</b:InternetSiteTitle>
    <b:URL>https://ec.europa.eu/info/law/law-topic/data-protection/eu-data-protection-rules_en</b:URL>
    <b:Year>2018</b:Year>
    <b:RefOrder>12</b:RefOrder>
  </b:Source>
  <b:Source>
    <b:Tag>Inf</b:Tag>
    <b:SourceType>InternetSite</b:SourceType>
    <b:Guid>{53237DCE-EE47-4D2C-AF8E-EE0F9231D3F9}</b:Guid>
    <b:Author>
      <b:Author>
        <b:NameList>
          <b:Person>
            <b:Last>Informa UK LTD</b:Last>
          </b:Person>
        </b:NameList>
      </b:Author>
    </b:Author>
    <b:Title>Understanding our data sharing policies</b:Title>
    <b:InternetSiteTitle>Author Services, supporting Taylor &amp; Francis authors</b:InternetSiteTitle>
    <b:URL>https://authorservices.taylorandfrancis.com/data-sharing-policies/</b:URL>
    <b:RefOrder>15</b:RefOrder>
  </b:Source>
  <b:Source>
    <b:Tag>Bay20</b:Tag>
    <b:SourceType>DocumentFromInternetSite</b:SourceType>
    <b:Guid>{E5365A3B-805B-457C-9AFE-A5EB04BB7D49}</b:Guid>
    <b:Title>State of Open Data survey 2020</b:Title>
    <b:InternetSiteTitle>Figshare</b:InternetSiteTitle>
    <b:Year>2020</b:Year>
    <b:Month>December</b:Month>
    <b:URL>https://figshare.com/articles/dataset/_/13274744</b:URL>
    <b:Author>
      <b:Author>
        <b:NameList>
          <b:Person>
            <b:Last>Baynes</b:Last>
            <b:First>Grace</b:First>
          </b:Person>
        </b:NameList>
      </b:Author>
    </b:Author>
    <b:DOI>https://doi.org/10.6084/m9.figshare.13274744.v1</b:DOI>
    <b:RefOrder>14</b:RefOrder>
  </b:Source>
  <b:Source>
    <b:Tag>Mar14</b:Tag>
    <b:SourceType>InternetSite</b:SourceType>
    <b:Guid>{0DA63E82-D7D2-42E7-93DE-02AC5B3B3018}</b:Guid>
    <b:Title>figshare new features - Get DOI or private sharing link</b:Title>
    <b:InternetSiteTitle>Figshare</b:InternetSiteTitle>
    <b:Year>2014</b:Year>
    <b:Month>10</b:Month>
    <b:Day>21</b:Day>
    <b:URL>https://figshare.com/blog/figshare_new_features_Get_DOI_or_private_sharing_link/135</b:URL>
    <b:Author>
      <b:Author>
        <b:NameList>
          <b:Person>
            <b:Last>Hahnel</b:Last>
            <b:First>Mark</b:First>
          </b:Person>
        </b:NameList>
      </b:Author>
    </b:Author>
    <b:RefOrder>16</b:RefOrder>
  </b:Source>
  <b:Source>
    <b:Tag>Dry</b:Tag>
    <b:SourceType>InternetSite</b:SourceType>
    <b:Guid>{09E1E84D-20C3-4C4F-B121-D0EFE9FFEF9B}</b:Guid>
    <b:Author>
      <b:Author>
        <b:NameList>
          <b:Person>
            <b:Last>Dryad</b:Last>
          </b:Person>
        </b:NameList>
      </b:Author>
    </b:Author>
    <b:Title>Submission and Publication Process</b:Title>
    <b:InternetSiteTitle>Dryad</b:InternetSiteTitle>
    <b:URL>https://datadryad.org/stash/submission_process</b:URL>
    <b:RefOrder>17</b:RefOrder>
  </b:Source>
  <b:Source>
    <b:Tag>Cro</b:Tag>
    <b:SourceType>InternetSite</b:SourceType>
    <b:Guid>{7D2395D2-FA5E-402C-9A49-40DD60ECF84E}</b:Guid>
    <b:Author>
      <b:Author>
        <b:NameList>
          <b:Person>
            <b:Last>Crossref</b:Last>
          </b:Person>
        </b:NameList>
      </b:Author>
    </b:Author>
    <b:URL>https://www.crossref.org/</b:URL>
    <b:RefOrder>18</b:RefOrder>
  </b:Source>
  <b:Source>
    <b:Tag>OASPA</b:Tag>
    <b:SourceType>InternetSite</b:SourceType>
    <b:Guid>{6D4FEE59-9EB1-4EE6-BA81-557780279F74}</b:Guid>
    <b:Author>
      <b:Author>
        <b:NameList>
          <b:Person>
            <b:Last>OASPA</b:Last>
          </b:Person>
        </b:NameList>
      </b:Author>
    </b:Author>
    <b:Title>Open Access Scholarly Publishers Association</b:Title>
    <b:URL>https://oaspa.org/</b:URL>
    <b:RefOrder>2</b:RefOrder>
  </b:Source>
  <b:Source>
    <b:Tag>Can21</b:Tag>
    <b:SourceType>Misc</b:SourceType>
    <b:Guid>{BE58F25E-2E37-4B37-A410-D94D615245FA}</b:Guid>
    <b:Title>Submission and acceptance data for journals involved in the Taylor &amp; Francis FAIR data pilot</b:Title>
    <b:Year>2021</b:Year>
    <b:Author>
      <b:Author>
        <b:NameList>
          <b:Person>
            <b:Last>Cannon</b:Last>
            <b:First>Matthew</b:First>
          </b:Person>
          <b:Person>
            <b:Last>Kelly</b:Last>
            <b:First>Andrew</b:First>
          </b:Person>
          <b:Person>
            <b:Last>Freeman</b:Last>
            <b:First>Chris</b:First>
          </b:Person>
        </b:NameList>
      </b:Author>
    </b:Author>
    <b:PublicationTitle>Zenodo</b:PublicationTitle>
    <b:DOI>https://doi.org/10.5281/zenodo.5283977</b:DOI>
    <b:RefOrder>19</b:RefOrder>
  </b:Source>
</b:Sources>
</file>

<file path=customXml/itemProps1.xml><?xml version="1.0" encoding="utf-8"?>
<ds:datastoreItem xmlns:ds="http://schemas.openxmlformats.org/officeDocument/2006/customXml" ds:itemID="{5E668900-346D-4CA0-AFA8-D827F5BF52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e05d89-9aae-41dd-99b9-9ac395fc7c81"/>
    <ds:schemaRef ds:uri="3e2df787-0777-46b4-a4fe-4764e012c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4D78F5-A770-4056-B631-326974C4A6A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BDB5C67-6AAF-468B-9662-53DED3D072A8}">
  <ds:schemaRefs>
    <ds:schemaRef ds:uri="http://schemas.microsoft.com/sharepoint/v3/contenttype/forms"/>
  </ds:schemaRefs>
</ds:datastoreItem>
</file>

<file path=customXml/itemProps4.xml><?xml version="1.0" encoding="utf-8"?>
<ds:datastoreItem xmlns:ds="http://schemas.openxmlformats.org/officeDocument/2006/customXml" ds:itemID="{6B35EF96-0DFB-493D-BF1E-9F29F8675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16</Pages>
  <Words>6868</Words>
  <Characters>39149</Characters>
  <Application>Microsoft Office Word</Application>
  <DocSecurity>0</DocSecurity>
  <Lines>326</Lines>
  <Paragraphs>91</Paragraphs>
  <ScaleCrop>false</ScaleCrop>
  <Company/>
  <LinksUpToDate>false</LinksUpToDate>
  <CharactersWithSpaces>45926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Cannon, Matthew</dc:creator>
  <cp:keywords/>
  <dc:description/>
  <cp:lastModifiedBy>Cannon, Matthew</cp:lastModifiedBy>
  <cp:revision>2</cp:revision>
  <dcterms:created xsi:type="dcterms:W3CDTF">2021-08-27T08:39:00Z</dcterms:created>
  <dcterms:modified xsi:type="dcterms:W3CDTF">2021-08-27T08:39:00Z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0x010100B08E359EDC9EEB4E95777507A08ECE8D</vt:lpwstr>
  </property>
  <property fmtid="{D5CDD505-2E9C-101B-9397-08002B2CF9AE}" pid="3" name="MSIP_Label_2bbab825-a111-45e4-86a1-18cee0005896_Enabled">
    <vt:lpwstr>true</vt:lpwstr>
  </property>
  <property fmtid="{D5CDD505-2E9C-101B-9397-08002B2CF9AE}" pid="4" name="MSIP_Label_2bbab825-a111-45e4-86a1-18cee0005896_SetDate">
    <vt:lpwstr>2021-08-27T08:39:22Z</vt:lpwstr>
  </property>
  <property fmtid="{D5CDD505-2E9C-101B-9397-08002B2CF9AE}" pid="5" name="MSIP_Label_2bbab825-a111-45e4-86a1-18cee0005896_Method">
    <vt:lpwstr>Standard</vt:lpwstr>
  </property>
  <property fmtid="{D5CDD505-2E9C-101B-9397-08002B2CF9AE}" pid="6" name="MSIP_Label_2bbab825-a111-45e4-86a1-18cee0005896_Name">
    <vt:lpwstr>2bbab825-a111-45e4-86a1-18cee0005896</vt:lpwstr>
  </property>
  <property fmtid="{D5CDD505-2E9C-101B-9397-08002B2CF9AE}" pid="7" name="MSIP_Label_2bbab825-a111-45e4-86a1-18cee0005896_SiteId">
    <vt:lpwstr>2567d566-604c-408a-8a60-55d0dc9d9d6b</vt:lpwstr>
  </property>
  <property fmtid="{D5CDD505-2E9C-101B-9397-08002B2CF9AE}" pid="8" name="MSIP_Label_2bbab825-a111-45e4-86a1-18cee0005896_ActionId">
    <vt:lpwstr>e07106c0-51ef-4197-a02a-7bd40e129109</vt:lpwstr>
  </property>
  <property fmtid="{D5CDD505-2E9C-101B-9397-08002B2CF9AE}" pid="9" name="MSIP_Label_2bbab825-a111-45e4-86a1-18cee0005896_ContentBits">
    <vt:lpwstr>2</vt:lpwstr>
  </property>
</Properties>
</file>